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DCA278" w14:textId="25F6636B" w:rsidR="003508FD" w:rsidRPr="00CF6BC7" w:rsidRDefault="004F6408" w:rsidP="00CF6BC7">
      <w:pPr>
        <w:pStyle w:val="Red-Title"/>
        <w:rPr>
          <w:sz w:val="28"/>
          <w:szCs w:val="28"/>
        </w:rPr>
      </w:pPr>
      <w:r>
        <w:rPr>
          <w:sz w:val="52"/>
          <w:szCs w:val="52"/>
        </w:rPr>
        <w:t>Carpenter v. United States falls</w:t>
      </w:r>
      <w:r w:rsidR="00A84C0B">
        <w:rPr>
          <w:sz w:val="52"/>
          <w:szCs w:val="52"/>
        </w:rPr>
        <w:br/>
      </w:r>
      <w:r>
        <w:rPr>
          <w:sz w:val="28"/>
          <w:szCs w:val="28"/>
        </w:rPr>
        <w:t>Affirmative</w:t>
      </w:r>
      <w:r w:rsidR="006413FD">
        <w:rPr>
          <w:sz w:val="28"/>
          <w:szCs w:val="28"/>
        </w:rPr>
        <w:t xml:space="preserve"> Brief </w:t>
      </w:r>
      <w:r w:rsidR="00446BF2">
        <w:rPr>
          <w:sz w:val="28"/>
          <w:szCs w:val="28"/>
        </w:rPr>
        <w:t>by</w:t>
      </w:r>
      <w:r w:rsidR="006413FD">
        <w:rPr>
          <w:sz w:val="28"/>
          <w:szCs w:val="28"/>
        </w:rPr>
        <w:t xml:space="preserve"> </w:t>
      </w:r>
      <w:bookmarkStart w:id="0" w:name="_Toc299719814"/>
      <w:r>
        <w:rPr>
          <w:sz w:val="28"/>
          <w:szCs w:val="28"/>
        </w:rPr>
        <w:t>Nathaniel Arroyave</w:t>
      </w:r>
    </w:p>
    <w:p w14:paraId="435595CC" w14:textId="2B60677F" w:rsidR="005E1ABE" w:rsidRDefault="00637064" w:rsidP="00637064">
      <w:pPr>
        <w:pStyle w:val="NoSpacing"/>
        <w:spacing w:line="276" w:lineRule="auto"/>
        <w:jc w:val="center"/>
      </w:pPr>
      <w:r w:rsidRPr="00637064">
        <w:rPr>
          <w:noProof/>
        </w:rPr>
        <w:drawing>
          <wp:inline distT="0" distB="0" distL="0" distR="0" wp14:anchorId="311666F4" wp14:editId="781A7DFE">
            <wp:extent cx="6309360" cy="3549015"/>
            <wp:effectExtent l="133350" t="114300" r="129540" b="1657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309360" cy="354901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14BD0D97" w14:textId="3E807590" w:rsidR="00875961" w:rsidRDefault="00352522" w:rsidP="00B94FF9">
      <w:r>
        <w:t>Carpenter v. United States has become an increasingly popular application on the Negative, and sees a great likelihood of becoming a staple Negative application as the season continues</w:t>
      </w:r>
      <w:r w:rsidR="00875961">
        <w:t xml:space="preserve">. </w:t>
      </w:r>
      <w:r w:rsidR="00ED099F">
        <w:t xml:space="preserve">Though this may seem like an airtight example of </w:t>
      </w:r>
      <w:r w:rsidR="00163986">
        <w:t>protecting</w:t>
      </w:r>
      <w:r w:rsidR="00ED099F">
        <w:t xml:space="preserve"> privacy, a closer examination shows us more than a few problems with this application.</w:t>
      </w:r>
    </w:p>
    <w:p w14:paraId="6508927A" w14:textId="4F374871" w:rsidR="00B94FF9" w:rsidRDefault="00B94FF9" w:rsidP="00B94FF9">
      <w:r>
        <w:t>In</w:t>
      </w:r>
      <w:r w:rsidR="00875961">
        <w:t xml:space="preserve"> </w:t>
      </w:r>
      <w:r w:rsidR="00ED099F">
        <w:t>most examples of Carpenter v. United States, the facts are usually stated as follows</w:t>
      </w:r>
      <w:r w:rsidR="00875961">
        <w:t xml:space="preserve">: </w:t>
      </w:r>
    </w:p>
    <w:p w14:paraId="47216157" w14:textId="3AC5B6A2" w:rsidR="008A4F72" w:rsidRPr="008F32F2" w:rsidRDefault="008A4F72" w:rsidP="008F32F2">
      <w:pPr>
        <w:ind w:left="720"/>
        <w:rPr>
          <w:sz w:val="22"/>
          <w:szCs w:val="22"/>
        </w:rPr>
      </w:pPr>
      <w:r w:rsidRPr="008F32F2">
        <w:rPr>
          <w:sz w:val="22"/>
          <w:szCs w:val="22"/>
        </w:rPr>
        <w:t>In April 2011, four men were arrested in connection with a string of armed robberies of Radio Shack and T-Mobile stores. One of these men confessed that the group was responsible for the robberies, and that as many as 15 other men had participated in the crimes as getaway drivers and lookouts. He gave the FBI his personal cell phone number and the phone numbers of the others involved. The FBI then used the man’s call logs to identify additional phone numbers he had contacted around the time of the robberies.</w:t>
      </w:r>
    </w:p>
    <w:p w14:paraId="5043DF02" w14:textId="77777777" w:rsidR="008F32F2" w:rsidRPr="008F32F2" w:rsidRDefault="008A4F72" w:rsidP="008A4F72">
      <w:pPr>
        <w:ind w:left="720"/>
        <w:rPr>
          <w:sz w:val="22"/>
          <w:szCs w:val="22"/>
        </w:rPr>
      </w:pPr>
      <w:r w:rsidRPr="008F32F2">
        <w:rPr>
          <w:sz w:val="22"/>
          <w:szCs w:val="22"/>
        </w:rPr>
        <w:t xml:space="preserve">The FBI then applied for 2703(d) orders to produce the “transactional records” from 16 phone numbers, including Carpenter’s. The transactional records requested included subscriber information, toll records, call detail records, and numbers dialed, as well as “cell site information for the target telephones at call origination and at call termination for incoming and outgoing calls.” Three magistrate judges found that </w:t>
      </w:r>
      <w:r w:rsidRPr="008F32F2">
        <w:rPr>
          <w:sz w:val="22"/>
          <w:szCs w:val="22"/>
        </w:rPr>
        <w:lastRenderedPageBreak/>
        <w:t>the FBI had met the standards of suspicion required by the SCA, and issued the requested 2703(d) orders</w:t>
      </w:r>
      <w:r w:rsidR="00937AE8" w:rsidRPr="008F32F2">
        <w:rPr>
          <w:sz w:val="22"/>
          <w:szCs w:val="22"/>
        </w:rPr>
        <w:t>.</w:t>
      </w:r>
      <w:r w:rsidRPr="008F32F2">
        <w:rPr>
          <w:sz w:val="22"/>
          <w:szCs w:val="22"/>
        </w:rPr>
        <w:t xml:space="preserve"> </w:t>
      </w:r>
    </w:p>
    <w:p w14:paraId="39F05973" w14:textId="3CF915CA" w:rsidR="00B94FF9" w:rsidRPr="008F32F2" w:rsidRDefault="008F32F2" w:rsidP="008A4F72">
      <w:pPr>
        <w:ind w:left="720"/>
        <w:rPr>
          <w:sz w:val="22"/>
          <w:szCs w:val="22"/>
        </w:rPr>
      </w:pPr>
      <w:r w:rsidRPr="008F32F2">
        <w:rPr>
          <w:sz w:val="22"/>
          <w:szCs w:val="22"/>
        </w:rPr>
        <w:t>Two of the conspirators, Timothy Carpenter and Timothy Sanders, were eventually charged with aiding and abetting robbery affecting interstate commerce and the use or carriage of a firearm in violation of the Hobbs Act. At trial, the FBI explained that the CSLI acquired through 2703(d) orders had placed the two men’s phone within a half-mile to two miles of each robbery. Carpenter and Sanders sought to suppress the CSLI evidence under the Fourth Amendment, but the district court denied the motion. Both men were convicted, and both appealed.</w:t>
      </w:r>
      <w:r w:rsidR="00937AE8" w:rsidRPr="008F32F2">
        <w:rPr>
          <w:rStyle w:val="FootnoteReference"/>
          <w:sz w:val="18"/>
          <w:szCs w:val="18"/>
        </w:rPr>
        <w:footnoteReference w:id="1"/>
      </w:r>
    </w:p>
    <w:p w14:paraId="535C8D15" w14:textId="3ADF32AE" w:rsidR="00B94FF9" w:rsidRDefault="008F32F2" w:rsidP="00B94FF9">
      <w:r>
        <w:t xml:space="preserve">The Supreme Court voted 5-4 in favor of Carpenter’s right to privacy. </w:t>
      </w:r>
      <w:r w:rsidR="00937AE8">
        <w:t xml:space="preserve">The Negative will usually go on to explain that this is an example of ‘doing the right thing’ by abiding by these </w:t>
      </w:r>
      <w:r w:rsidR="00163986">
        <w:t>peoples’ privacy, even though there was sufficient evidence to at least charge them with – and likely convict them of – various crimes. This will likely be followed by a brief moralization about how if we don’t do this “we’re no better than them,” or how we need to take some ethereal moral high ground.</w:t>
      </w:r>
    </w:p>
    <w:p w14:paraId="314FFA8C" w14:textId="3DDC1678" w:rsidR="00214200" w:rsidRDefault="00214200" w:rsidP="00B94FF9">
      <w:r>
        <w:t>The tags used in this brief include:</w:t>
      </w:r>
    </w:p>
    <w:p w14:paraId="7A2BFF2C" w14:textId="4707FACA" w:rsidR="00016BFE" w:rsidRPr="00016BFE" w:rsidRDefault="00016BFE" w:rsidP="00875961">
      <w:pPr>
        <w:pStyle w:val="TOC2"/>
        <w:numPr>
          <w:ilvl w:val="0"/>
          <w:numId w:val="34"/>
        </w:numPr>
        <w:tabs>
          <w:tab w:val="right" w:leader="dot" w:pos="9926"/>
        </w:tabs>
        <w:spacing w:after="0"/>
        <w:rPr>
          <w:rFonts w:asciiTheme="minorHAnsi" w:eastAsiaTheme="minorEastAsia" w:hAnsiTheme="minorHAnsi" w:cstheme="minorBidi"/>
          <w:noProof/>
        </w:rPr>
      </w:pPr>
      <w:r>
        <w:rPr>
          <w:rFonts w:asciiTheme="minorHAnsi" w:eastAsiaTheme="minorEastAsia" w:hAnsiTheme="minorHAnsi" w:cstheme="minorBidi"/>
          <w:noProof/>
        </w:rPr>
        <w:t>CSLI (Cell Site Location Information)</w:t>
      </w:r>
    </w:p>
    <w:p w14:paraId="65D9C4E7" w14:textId="0A379E4B" w:rsidR="00875961" w:rsidRDefault="00AC4A30" w:rsidP="00875961">
      <w:pPr>
        <w:pStyle w:val="TOC2"/>
        <w:numPr>
          <w:ilvl w:val="0"/>
          <w:numId w:val="34"/>
        </w:numPr>
        <w:tabs>
          <w:tab w:val="right" w:leader="dot" w:pos="9926"/>
        </w:tabs>
        <w:spacing w:after="0"/>
        <w:rPr>
          <w:rFonts w:asciiTheme="minorHAnsi" w:eastAsiaTheme="minorEastAsia" w:hAnsiTheme="minorHAnsi" w:cstheme="minorBidi"/>
          <w:noProof/>
        </w:rPr>
      </w:pPr>
      <w:r>
        <w:rPr>
          <w:noProof/>
        </w:rPr>
        <w:t>A</w:t>
      </w:r>
      <w:r w:rsidR="00E6391C">
        <w:rPr>
          <w:noProof/>
        </w:rPr>
        <w:t>pproved By Federal Judges</w:t>
      </w:r>
    </w:p>
    <w:p w14:paraId="6E63B45F" w14:textId="185A6F2D" w:rsidR="00875961" w:rsidRDefault="00163986" w:rsidP="00875961">
      <w:pPr>
        <w:pStyle w:val="TOC2"/>
        <w:numPr>
          <w:ilvl w:val="0"/>
          <w:numId w:val="34"/>
        </w:numPr>
        <w:tabs>
          <w:tab w:val="right" w:leader="dot" w:pos="9926"/>
        </w:tabs>
        <w:spacing w:after="0"/>
        <w:rPr>
          <w:rFonts w:asciiTheme="minorHAnsi" w:eastAsiaTheme="minorEastAsia" w:hAnsiTheme="minorHAnsi" w:cstheme="minorBidi"/>
          <w:noProof/>
        </w:rPr>
      </w:pPr>
      <w:r>
        <w:rPr>
          <w:noProof/>
        </w:rPr>
        <w:t>Not</w:t>
      </w:r>
      <w:r w:rsidR="00016BFE">
        <w:rPr>
          <w:noProof/>
        </w:rPr>
        <w:t xml:space="preserve"> Intended</w:t>
      </w:r>
      <w:r>
        <w:rPr>
          <w:noProof/>
        </w:rPr>
        <w:t xml:space="preserve"> As General Rule</w:t>
      </w:r>
    </w:p>
    <w:p w14:paraId="020B9448" w14:textId="56EF5FCA" w:rsidR="00875961" w:rsidRDefault="00F6787C" w:rsidP="00875961">
      <w:pPr>
        <w:pStyle w:val="TOC2"/>
        <w:numPr>
          <w:ilvl w:val="0"/>
          <w:numId w:val="34"/>
        </w:numPr>
        <w:tabs>
          <w:tab w:val="right" w:leader="dot" w:pos="9926"/>
        </w:tabs>
        <w:spacing w:after="0"/>
        <w:rPr>
          <w:rFonts w:asciiTheme="minorHAnsi" w:eastAsiaTheme="minorEastAsia" w:hAnsiTheme="minorHAnsi" w:cstheme="minorBidi"/>
          <w:noProof/>
        </w:rPr>
      </w:pPr>
      <w:r>
        <w:rPr>
          <w:noProof/>
        </w:rPr>
        <w:t>Close</w:t>
      </w:r>
      <w:r w:rsidR="00016BFE">
        <w:rPr>
          <w:noProof/>
        </w:rPr>
        <w:t xml:space="preserve"> Decision</w:t>
      </w:r>
    </w:p>
    <w:p w14:paraId="114433B3" w14:textId="740C342B" w:rsidR="00875961" w:rsidRDefault="00016BFE" w:rsidP="00875961">
      <w:pPr>
        <w:pStyle w:val="TOC2"/>
        <w:numPr>
          <w:ilvl w:val="0"/>
          <w:numId w:val="34"/>
        </w:numPr>
        <w:tabs>
          <w:tab w:val="right" w:leader="dot" w:pos="9926"/>
        </w:tabs>
        <w:spacing w:after="0"/>
        <w:rPr>
          <w:rFonts w:asciiTheme="minorHAnsi" w:eastAsiaTheme="minorEastAsia" w:hAnsiTheme="minorHAnsi" w:cstheme="minorBidi"/>
          <w:noProof/>
        </w:rPr>
      </w:pPr>
      <w:r>
        <w:rPr>
          <w:noProof/>
        </w:rPr>
        <w:t xml:space="preserve">Doesn’t </w:t>
      </w:r>
      <w:r w:rsidR="000E2CED">
        <w:rPr>
          <w:noProof/>
        </w:rPr>
        <w:t>Predict Legal Precedent</w:t>
      </w:r>
    </w:p>
    <w:p w14:paraId="00800D96" w14:textId="05C08BFF" w:rsidR="00875961" w:rsidRDefault="00016BFE" w:rsidP="00875961">
      <w:pPr>
        <w:pStyle w:val="TOC2"/>
        <w:numPr>
          <w:ilvl w:val="0"/>
          <w:numId w:val="34"/>
        </w:numPr>
        <w:tabs>
          <w:tab w:val="right" w:leader="dot" w:pos="9926"/>
        </w:tabs>
        <w:spacing w:after="0"/>
        <w:rPr>
          <w:rFonts w:asciiTheme="minorHAnsi" w:eastAsiaTheme="minorEastAsia" w:hAnsiTheme="minorHAnsi" w:cstheme="minorBidi"/>
          <w:noProof/>
        </w:rPr>
      </w:pPr>
      <w:r>
        <w:rPr>
          <w:noProof/>
        </w:rPr>
        <w:t>Broad Information Collection Still Allowed</w:t>
      </w:r>
    </w:p>
    <w:p w14:paraId="4B95D669" w14:textId="3FECA04F" w:rsidR="00875961" w:rsidRDefault="00016BFE" w:rsidP="00875961">
      <w:pPr>
        <w:pStyle w:val="TOC2"/>
        <w:numPr>
          <w:ilvl w:val="0"/>
          <w:numId w:val="34"/>
        </w:numPr>
        <w:tabs>
          <w:tab w:val="right" w:leader="dot" w:pos="9926"/>
        </w:tabs>
        <w:spacing w:after="0"/>
        <w:rPr>
          <w:rFonts w:asciiTheme="minorHAnsi" w:eastAsiaTheme="minorEastAsia" w:hAnsiTheme="minorHAnsi" w:cstheme="minorBidi"/>
          <w:noProof/>
        </w:rPr>
      </w:pPr>
      <w:r>
        <w:rPr>
          <w:noProof/>
        </w:rPr>
        <w:t>Net Decrease in Privacy Predicted</w:t>
      </w:r>
    </w:p>
    <w:p w14:paraId="4E4F4659" w14:textId="7673B148" w:rsidR="00875961" w:rsidRDefault="00016BFE" w:rsidP="00875961">
      <w:pPr>
        <w:pStyle w:val="TOC2"/>
        <w:numPr>
          <w:ilvl w:val="0"/>
          <w:numId w:val="34"/>
        </w:numPr>
        <w:tabs>
          <w:tab w:val="right" w:leader="dot" w:pos="9926"/>
        </w:tabs>
        <w:spacing w:after="0"/>
        <w:rPr>
          <w:rFonts w:asciiTheme="minorHAnsi" w:eastAsiaTheme="minorEastAsia" w:hAnsiTheme="minorHAnsi" w:cstheme="minorBidi"/>
          <w:noProof/>
        </w:rPr>
      </w:pPr>
      <w:r>
        <w:rPr>
          <w:noProof/>
        </w:rPr>
        <w:t>Decision Not Relevant to Modern and Future Privacy</w:t>
      </w:r>
    </w:p>
    <w:p w14:paraId="524A9F38" w14:textId="225C10F8" w:rsidR="00875961" w:rsidRDefault="00DE5C46" w:rsidP="00875961">
      <w:pPr>
        <w:pStyle w:val="TOC2"/>
        <w:numPr>
          <w:ilvl w:val="0"/>
          <w:numId w:val="34"/>
        </w:numPr>
        <w:tabs>
          <w:tab w:val="right" w:leader="dot" w:pos="9926"/>
        </w:tabs>
        <w:spacing w:after="0"/>
        <w:rPr>
          <w:rFonts w:asciiTheme="minorHAnsi" w:eastAsiaTheme="minorEastAsia" w:hAnsiTheme="minorHAnsi" w:cstheme="minorBidi"/>
          <w:noProof/>
        </w:rPr>
      </w:pPr>
      <w:r>
        <w:rPr>
          <w:noProof/>
        </w:rPr>
        <w:t xml:space="preserve">Doesn’t </w:t>
      </w:r>
      <w:r w:rsidR="00FF487A">
        <w:rPr>
          <w:noProof/>
        </w:rPr>
        <w:t>Protect Majority of</w:t>
      </w:r>
      <w:r>
        <w:rPr>
          <w:noProof/>
        </w:rPr>
        <w:t xml:space="preserve"> Privacy of Location</w:t>
      </w:r>
    </w:p>
    <w:p w14:paraId="13CB0DD9" w14:textId="1633EB81" w:rsidR="00875961" w:rsidRDefault="00FC76B1" w:rsidP="00875961">
      <w:pPr>
        <w:pStyle w:val="TOC2"/>
        <w:numPr>
          <w:ilvl w:val="0"/>
          <w:numId w:val="34"/>
        </w:numPr>
        <w:tabs>
          <w:tab w:val="right" w:leader="dot" w:pos="9926"/>
        </w:tabs>
        <w:spacing w:after="0"/>
        <w:rPr>
          <w:rFonts w:asciiTheme="minorHAnsi" w:eastAsiaTheme="minorEastAsia" w:hAnsiTheme="minorHAnsi" w:cstheme="minorBidi"/>
          <w:noProof/>
        </w:rPr>
      </w:pPr>
      <w:r>
        <w:rPr>
          <w:noProof/>
        </w:rPr>
        <w:t>Third-Party Doctrine Still Upheld</w:t>
      </w:r>
    </w:p>
    <w:p w14:paraId="6FDF03E3" w14:textId="269E1C53" w:rsidR="00875961" w:rsidRDefault="00064244" w:rsidP="00875961">
      <w:pPr>
        <w:pStyle w:val="TOC2"/>
        <w:numPr>
          <w:ilvl w:val="0"/>
          <w:numId w:val="34"/>
        </w:numPr>
        <w:tabs>
          <w:tab w:val="right" w:leader="dot" w:pos="9926"/>
        </w:tabs>
        <w:spacing w:after="0"/>
        <w:rPr>
          <w:rFonts w:asciiTheme="minorHAnsi" w:eastAsiaTheme="minorEastAsia" w:hAnsiTheme="minorHAnsi" w:cstheme="minorBidi"/>
          <w:noProof/>
        </w:rPr>
      </w:pPr>
      <w:r>
        <w:rPr>
          <w:noProof/>
        </w:rPr>
        <w:t xml:space="preserve">Doesn’t Accurately Reflect </w:t>
      </w:r>
      <w:r w:rsidR="0042767D">
        <w:rPr>
          <w:noProof/>
        </w:rPr>
        <w:t>the Present Reality of Technology</w:t>
      </w:r>
    </w:p>
    <w:p w14:paraId="59A5154C" w14:textId="3167C393" w:rsidR="00875961" w:rsidRDefault="00C51D8E" w:rsidP="00875961">
      <w:pPr>
        <w:pStyle w:val="TOC2"/>
        <w:numPr>
          <w:ilvl w:val="0"/>
          <w:numId w:val="34"/>
        </w:numPr>
        <w:tabs>
          <w:tab w:val="right" w:leader="dot" w:pos="9926"/>
        </w:tabs>
        <w:spacing w:after="0"/>
        <w:rPr>
          <w:rFonts w:asciiTheme="minorHAnsi" w:eastAsiaTheme="minorEastAsia" w:hAnsiTheme="minorHAnsi" w:cstheme="minorBidi"/>
          <w:noProof/>
        </w:rPr>
      </w:pPr>
      <w:r>
        <w:rPr>
          <w:noProof/>
        </w:rPr>
        <w:t>Hamstrings Law Enforcement</w:t>
      </w:r>
    </w:p>
    <w:p w14:paraId="2D2EEBF0" w14:textId="70174CC0" w:rsidR="00875961" w:rsidRDefault="009377F7" w:rsidP="00875961">
      <w:pPr>
        <w:pStyle w:val="TOC2"/>
        <w:numPr>
          <w:ilvl w:val="0"/>
          <w:numId w:val="34"/>
        </w:numPr>
        <w:tabs>
          <w:tab w:val="right" w:leader="dot" w:pos="9926"/>
        </w:tabs>
        <w:spacing w:after="0"/>
        <w:rPr>
          <w:rFonts w:asciiTheme="minorHAnsi" w:eastAsiaTheme="minorEastAsia" w:hAnsiTheme="minorHAnsi" w:cstheme="minorBidi"/>
          <w:noProof/>
        </w:rPr>
      </w:pPr>
      <w:r>
        <w:rPr>
          <w:noProof/>
        </w:rPr>
        <w:t>No Guarantee of Lasting Consensus on Decision</w:t>
      </w:r>
    </w:p>
    <w:p w14:paraId="452BD6CB" w14:textId="3C45EF9F" w:rsidR="00214200" w:rsidRPr="003F0F87" w:rsidRDefault="00256EE1" w:rsidP="003F0F87">
      <w:pPr>
        <w:pStyle w:val="TOC2"/>
        <w:numPr>
          <w:ilvl w:val="0"/>
          <w:numId w:val="34"/>
        </w:numPr>
        <w:tabs>
          <w:tab w:val="right" w:leader="dot" w:pos="9926"/>
        </w:tabs>
        <w:spacing w:after="0"/>
        <w:rPr>
          <w:rFonts w:asciiTheme="minorHAnsi" w:eastAsiaTheme="minorEastAsia" w:hAnsiTheme="minorHAnsi" w:cstheme="minorBidi"/>
          <w:noProof/>
        </w:rPr>
      </w:pPr>
      <w:r>
        <w:rPr>
          <w:noProof/>
        </w:rPr>
        <w:t>Impairs Investigative Juries</w:t>
      </w:r>
    </w:p>
    <w:p w14:paraId="59FA24EC" w14:textId="2E739EB5" w:rsidR="00531224" w:rsidRPr="00C501BE" w:rsidRDefault="00531224" w:rsidP="00C501BE"/>
    <w:p w14:paraId="723548BF" w14:textId="78032429" w:rsidR="00F57060" w:rsidRDefault="00016BFE" w:rsidP="00F57060">
      <w:pPr>
        <w:pStyle w:val="Red-Title"/>
      </w:pPr>
      <w:r>
        <w:lastRenderedPageBreak/>
        <w:t>Carpenter v. United States Falls</w:t>
      </w:r>
    </w:p>
    <w:p w14:paraId="7C24338A" w14:textId="7E09C27A" w:rsidR="009F54CA" w:rsidRDefault="00016BFE" w:rsidP="004A6116">
      <w:pPr>
        <w:pStyle w:val="RedEvidenceTag"/>
      </w:pPr>
      <w:r>
        <w:t>CLSI (Cell Site Location Information</w:t>
      </w:r>
      <w:r w:rsidR="003F6508">
        <w:t>)</w:t>
      </w:r>
    </w:p>
    <w:p w14:paraId="5E3567E9" w14:textId="6CEB3A15" w:rsidR="00016BFE" w:rsidRDefault="00016BFE" w:rsidP="001F62BD">
      <w:pPr>
        <w:pStyle w:val="RedEvidenceCitation"/>
      </w:pPr>
      <w:proofErr w:type="spellStart"/>
      <w:r>
        <w:t>Bhairav</w:t>
      </w:r>
      <w:proofErr w:type="spellEnd"/>
      <w:r>
        <w:t xml:space="preserve"> Acharya, Richa Goyal, Jaideep Reddy. “Cell Phone Location Tracking.” National Association of Criminal Defense Lawyers, June 7, 2016</w:t>
      </w:r>
    </w:p>
    <w:p w14:paraId="0588A2C7" w14:textId="7DA8F710" w:rsidR="00B612F8" w:rsidRPr="00AC4A30" w:rsidRDefault="00DC10D6" w:rsidP="00AC4A30">
      <w:pPr>
        <w:pStyle w:val="RedEvidence"/>
        <w:ind w:left="0"/>
        <w:rPr>
          <w:i/>
          <w:iCs/>
          <w:u w:val="single"/>
        </w:rPr>
      </w:pPr>
      <w:hyperlink r:id="rId9" w:history="1">
        <w:r w:rsidR="005D65F8" w:rsidRPr="002A668E">
          <w:rPr>
            <w:rStyle w:val="Hyperlink"/>
            <w:i/>
            <w:iCs/>
          </w:rPr>
          <w:t>https://www.law.berkeley.edu/wp-content/uploads/2015/04/2016-06-07_Cell-Tracking-Primer_Final.pdf</w:t>
        </w:r>
      </w:hyperlink>
      <w:r w:rsidR="005D65F8">
        <w:rPr>
          <w:i/>
          <w:iCs/>
          <w:u w:val="single"/>
        </w:rPr>
        <w:t xml:space="preserve"> </w:t>
      </w:r>
      <w:r w:rsidR="00AC4A30">
        <w:rPr>
          <w:i/>
          <w:iCs/>
          <w:u w:val="single"/>
        </w:rPr>
        <w:br/>
      </w:r>
      <w:r w:rsidR="00E6391C">
        <w:rPr>
          <w:i/>
          <w:iCs/>
          <w:u w:val="single"/>
        </w:rPr>
        <w:br/>
      </w:r>
      <w:r w:rsidR="00E6391C" w:rsidRPr="00E6391C">
        <w:rPr>
          <w:u w:val="single"/>
        </w:rPr>
        <w:t xml:space="preserve">A cell phone’s location can be detected through cell site location information (CSLI) </w:t>
      </w:r>
      <w:proofErr w:type="spellStart"/>
      <w:r w:rsidR="00E6391C" w:rsidRPr="00E6391C">
        <w:rPr>
          <w:u w:val="single"/>
        </w:rPr>
        <w:t>orglobal</w:t>
      </w:r>
      <w:proofErr w:type="spellEnd"/>
      <w:r w:rsidR="00E6391C" w:rsidRPr="00E6391C">
        <w:rPr>
          <w:u w:val="single"/>
        </w:rPr>
        <w:t xml:space="preserve"> positioning system (GPS) data. CSLI refers to the information collected as a cell phone identifies its location to nearby cell towers. CSLI from nearby cell towers can indicate a cell phone’s approximate location</w:t>
      </w:r>
      <w:r w:rsidR="00E6391C" w:rsidRPr="00E6391C">
        <w:t>. With information from multiple cell towers, a technique called “triangulation” is used to locate a cell phone with greater precision. A cell phone’s GPS capabilities allow it to be tracked to within 5 to 10 feet. Cell phone location information can be “historical” or “prospective.” In addition to the location information cell phones ordinarily generate, a cell phone may be “pinged” to force it to reveal its location.</w:t>
      </w:r>
      <w:r w:rsidR="00E6391C">
        <w:br/>
      </w:r>
      <w:r w:rsidR="00E6391C" w:rsidRPr="00E6391C">
        <w:t>HOW IS CELL PHONE LOCATION INFORMATION USED?</w:t>
      </w:r>
      <w:r w:rsidR="00E6391C">
        <w:br/>
      </w:r>
      <w:r w:rsidR="00E6391C" w:rsidRPr="00E6391C">
        <w:t>Cell phone companies store historical and prospective CSLI and prospective GPS data, which law enforcement authorities can request from them through court processes. Historical CSLI enables law enforcement to piece together past events, for example, by connecting a suspect to the location of a past crime. Prospective location information, on the other hand, helps law enforcement trace the current whereabouts of a suspect, which can lead to arrest.</w:t>
      </w:r>
    </w:p>
    <w:p w14:paraId="7C45BAAE" w14:textId="51863C94" w:rsidR="006D548E" w:rsidRDefault="00E6391C" w:rsidP="006D548E">
      <w:pPr>
        <w:pStyle w:val="RedEvidenceTag"/>
      </w:pPr>
      <w:r>
        <w:lastRenderedPageBreak/>
        <w:t xml:space="preserve">Approved </w:t>
      </w:r>
      <w:r w:rsidR="005E0473">
        <w:t>by</w:t>
      </w:r>
      <w:r>
        <w:t xml:space="preserve"> Federal Judges.</w:t>
      </w:r>
    </w:p>
    <w:p w14:paraId="1A17959B" w14:textId="791E1C69" w:rsidR="006D548E" w:rsidRDefault="00E6391C" w:rsidP="006D548E">
      <w:pPr>
        <w:pStyle w:val="RedEvidenceCitation"/>
      </w:pPr>
      <w:r>
        <w:t>Sabrina McCubbin</w:t>
      </w:r>
      <w:r w:rsidR="006D548E">
        <w:t>. “</w:t>
      </w:r>
      <w:r>
        <w:t xml:space="preserve">Summary: The Supreme Court Rules in Carpenter v. United States.” Lawfare, 27 June 2018, </w:t>
      </w:r>
      <w:r w:rsidR="005E0473">
        <w:br/>
      </w:r>
      <w:r w:rsidR="006D548E">
        <w:t xml:space="preserve"> </w:t>
      </w:r>
      <w:hyperlink r:id="rId10" w:history="1">
        <w:r w:rsidR="005E0473" w:rsidRPr="002A668E">
          <w:rPr>
            <w:rStyle w:val="Hyperlink"/>
          </w:rPr>
          <w:t>www.lawfareblog.com/summary-supreme-court-rules-carpenter-v-united-states</w:t>
        </w:r>
      </w:hyperlink>
      <w:r w:rsidR="005E0473" w:rsidRPr="005E0473">
        <w:t>.</w:t>
      </w:r>
    </w:p>
    <w:p w14:paraId="4DF17E23" w14:textId="19A3D661" w:rsidR="005E0473" w:rsidRDefault="005E0473" w:rsidP="005E0473">
      <w:pPr>
        <w:pStyle w:val="RedEvidenceTag"/>
        <w:ind w:left="360"/>
        <w:rPr>
          <w:rFonts w:eastAsiaTheme="minorHAnsi"/>
          <w:b w:val="0"/>
        </w:rPr>
      </w:pPr>
      <w:bookmarkStart w:id="1" w:name="_Toc532875875"/>
      <w:r w:rsidRPr="005E0473">
        <w:rPr>
          <w:rFonts w:eastAsiaTheme="minorHAnsi"/>
          <w:b w:val="0"/>
        </w:rPr>
        <w:t xml:space="preserve">One of these men confessed that the group was responsible for the robberies, and that as many as 15 other men had participated in the crimes as getaway drivers and lookouts. </w:t>
      </w:r>
      <w:r w:rsidRPr="005E0473">
        <w:rPr>
          <w:rFonts w:eastAsiaTheme="minorHAnsi"/>
          <w:b w:val="0"/>
          <w:u w:val="single"/>
        </w:rPr>
        <w:t>He gave the FBI his personal cell phone number and the phone numbers of the others involved. The FBI then used the man’s call logs to identify additional phone numbers he had contacted around the time of the robberies. The FBI then applied for 2703(d) orders to produce the “transactional records” from 16 phone numbers, including Carpenter’s.</w:t>
      </w:r>
      <w:r w:rsidRPr="005E0473">
        <w:rPr>
          <w:rFonts w:eastAsiaTheme="minorHAnsi"/>
          <w:b w:val="0"/>
        </w:rPr>
        <w:t xml:space="preserve"> The transactional records requested included subscriber information, toll records, call detail records, and numbers dialed, as well as “cell site information for the target telephones at call origination and at call termination for incoming and outgoing calls.”</w:t>
      </w:r>
      <w:r>
        <w:rPr>
          <w:rFonts w:eastAsiaTheme="minorHAnsi"/>
          <w:b w:val="0"/>
        </w:rPr>
        <w:t xml:space="preserve"> </w:t>
      </w:r>
      <w:r w:rsidRPr="005E0473">
        <w:rPr>
          <w:rFonts w:eastAsiaTheme="minorHAnsi"/>
          <w:b w:val="0"/>
          <w:u w:val="single"/>
        </w:rPr>
        <w:t>Three magistrate judges found that the FBI had met the standards of suspicion required by the SCA, and issued the requested 2703(d) orders.</w:t>
      </w:r>
    </w:p>
    <w:bookmarkEnd w:id="1"/>
    <w:p w14:paraId="527E9A05" w14:textId="22989F03" w:rsidR="001F62BD" w:rsidRPr="005E0473" w:rsidRDefault="005E0473" w:rsidP="005E0473">
      <w:pPr>
        <w:pStyle w:val="RedEvidenceTag"/>
        <w:ind w:left="360" w:hanging="360"/>
        <w:rPr>
          <w:rFonts w:eastAsiaTheme="minorHAnsi"/>
          <w:b w:val="0"/>
        </w:rPr>
      </w:pPr>
      <w:r>
        <w:t xml:space="preserve">Not Intended </w:t>
      </w:r>
      <w:r w:rsidR="0042767D">
        <w:t>as</w:t>
      </w:r>
      <w:r>
        <w:t xml:space="preserve"> a General Rule</w:t>
      </w:r>
    </w:p>
    <w:p w14:paraId="5556D301" w14:textId="70177A93" w:rsidR="001F62BD" w:rsidRDefault="005E0473" w:rsidP="001F62BD">
      <w:pPr>
        <w:pStyle w:val="RedEvidenceCitation"/>
      </w:pPr>
      <w:r>
        <w:t xml:space="preserve">Paul Rosenzweig. </w:t>
      </w:r>
      <w:r w:rsidR="001F62BD">
        <w:t>“</w:t>
      </w:r>
      <w:r>
        <w:t>Carpenter v.</w:t>
      </w:r>
      <w:r w:rsidR="002958A7">
        <w:t xml:space="preserve"> U</w:t>
      </w:r>
      <w:r>
        <w:t xml:space="preserve">nited States and the Law of the Chancellor’s Foot.” Lawfare, July 1, 2018, </w:t>
      </w:r>
      <w:hyperlink r:id="rId11" w:history="1">
        <w:r w:rsidR="002958A7" w:rsidRPr="002A668E">
          <w:rPr>
            <w:rStyle w:val="Hyperlink"/>
          </w:rPr>
          <w:t>www.lawfareblog.com/carpenter-v-united-states-and-law-chancellors-foot</w:t>
        </w:r>
      </w:hyperlink>
      <w:r w:rsidR="002958A7" w:rsidRPr="002958A7">
        <w:t>.</w:t>
      </w:r>
      <w:r w:rsidR="002958A7">
        <w:t xml:space="preserve"> </w:t>
      </w:r>
    </w:p>
    <w:p w14:paraId="34E10089" w14:textId="212B2089" w:rsidR="002958A7" w:rsidRPr="002958A7" w:rsidRDefault="002958A7" w:rsidP="002958A7">
      <w:pPr>
        <w:pStyle w:val="RedEvidenceCitation"/>
        <w:rPr>
          <w:i w:val="0"/>
          <w:iCs/>
          <w:u w:val="single"/>
        </w:rPr>
      </w:pPr>
      <w:r w:rsidRPr="002958A7">
        <w:rPr>
          <w:i w:val="0"/>
          <w:iCs/>
          <w:u w:val="single"/>
        </w:rPr>
        <w:t>The court then goes even further, making clear that it is ruling on only a single particular case and not any other:</w:t>
      </w:r>
    </w:p>
    <w:p w14:paraId="3C2FE3CC" w14:textId="5FF65BF3" w:rsidR="002958A7" w:rsidRPr="002958A7" w:rsidRDefault="002958A7" w:rsidP="002958A7">
      <w:pPr>
        <w:pStyle w:val="RedEvidenceCitation"/>
        <w:rPr>
          <w:i w:val="0"/>
          <w:iCs/>
        </w:rPr>
      </w:pPr>
      <w:r w:rsidRPr="002958A7">
        <w:rPr>
          <w:i w:val="0"/>
          <w:iCs/>
          <w:u w:val="single"/>
        </w:rPr>
        <w:t>Our decision today is a narrow one.  We do not express a view on matters not before us:  real-time CSLI or “tower dumps” (a download of information on all the devices that connected to a particular cell site during a particular interval).</w:t>
      </w:r>
      <w:r w:rsidRPr="002958A7">
        <w:rPr>
          <w:i w:val="0"/>
          <w:iCs/>
        </w:rPr>
        <w:t xml:space="preserve"> </w:t>
      </w:r>
      <w:r w:rsidRPr="002958A7">
        <w:rPr>
          <w:i w:val="0"/>
          <w:iCs/>
          <w:u w:val="single"/>
        </w:rPr>
        <w:t>We do not disturb the application of Smith and Miller or call into question conventional surveillance techniques and tools, such as security cameras.</w:t>
      </w:r>
      <w:r>
        <w:rPr>
          <w:i w:val="0"/>
          <w:iCs/>
        </w:rPr>
        <w:t xml:space="preserve"> </w:t>
      </w:r>
      <w:r w:rsidRPr="002958A7">
        <w:rPr>
          <w:i w:val="0"/>
          <w:iCs/>
        </w:rPr>
        <w:t>Nor do we address other business records that might incidentally reveal location information.</w:t>
      </w:r>
      <w:r>
        <w:rPr>
          <w:i w:val="0"/>
          <w:iCs/>
        </w:rPr>
        <w:t xml:space="preserve"> </w:t>
      </w:r>
      <w:r w:rsidRPr="002958A7">
        <w:rPr>
          <w:i w:val="0"/>
          <w:iCs/>
          <w:u w:val="single"/>
        </w:rPr>
        <w:t>Further, our opinion does not consider other collectio</w:t>
      </w:r>
      <w:r w:rsidR="004503C6">
        <w:rPr>
          <w:i w:val="0"/>
          <w:iCs/>
          <w:u w:val="single"/>
        </w:rPr>
        <w:t>n</w:t>
      </w:r>
      <w:r w:rsidRPr="002958A7">
        <w:rPr>
          <w:i w:val="0"/>
          <w:iCs/>
          <w:u w:val="single"/>
        </w:rPr>
        <w:t xml:space="preserve"> techniques involving foreign affairs or national security.</w:t>
      </w:r>
    </w:p>
    <w:p w14:paraId="22EE23F6" w14:textId="3B8BCD7E" w:rsidR="001F62BD" w:rsidRDefault="00F6787C" w:rsidP="001F62BD">
      <w:pPr>
        <w:pStyle w:val="RedEvidenceTag"/>
      </w:pPr>
      <w:r>
        <w:t>Close</w:t>
      </w:r>
      <w:r w:rsidR="002958A7">
        <w:t xml:space="preserve"> on Decision</w:t>
      </w:r>
    </w:p>
    <w:p w14:paraId="437E396D" w14:textId="4BC2EAF5" w:rsidR="001F62BD" w:rsidRDefault="000E2CED" w:rsidP="001F62BD">
      <w:pPr>
        <w:pStyle w:val="RedEvidenceCitation"/>
      </w:pPr>
      <w:r w:rsidRPr="000E2CED">
        <w:t xml:space="preserve">“Carpenter v. United States.” American Civil Liberties Union, ACLU, 22 June 2018, </w:t>
      </w:r>
      <w:hyperlink r:id="rId12" w:history="1">
        <w:r w:rsidRPr="002A668E">
          <w:rPr>
            <w:rStyle w:val="Hyperlink"/>
          </w:rPr>
          <w:t>www.aclu.org/cases/carpenter-v-united-states</w:t>
        </w:r>
      </w:hyperlink>
      <w:r w:rsidRPr="000E2CED">
        <w:t>.</w:t>
      </w:r>
      <w:r>
        <w:t xml:space="preserve"> </w:t>
      </w:r>
    </w:p>
    <w:p w14:paraId="24E66897" w14:textId="7D57203B" w:rsidR="001F62BD" w:rsidRDefault="000E2CED" w:rsidP="00B612F8">
      <w:pPr>
        <w:pStyle w:val="RedEvidence"/>
      </w:pPr>
      <w:r w:rsidRPr="000E2CED">
        <w:t xml:space="preserve">The Supreme Court ruled that the government needs a warrant to access a person’s cellphone location history. </w:t>
      </w:r>
      <w:r w:rsidRPr="00F6787C">
        <w:rPr>
          <w:u w:val="single"/>
        </w:rPr>
        <w:t>The court found in a 5 to 4 decision that obtaining such information is a search under the Fourth Amendment and that a warrant from a judge based on probable cause is required</w:t>
      </w:r>
      <w:r w:rsidR="00F6787C" w:rsidRPr="00F6787C">
        <w:rPr>
          <w:u w:val="single"/>
        </w:rPr>
        <w:t>.</w:t>
      </w:r>
    </w:p>
    <w:p w14:paraId="31CC28E9" w14:textId="26F2AD01" w:rsidR="001F62BD" w:rsidRDefault="000E2CED" w:rsidP="001F62BD">
      <w:pPr>
        <w:pStyle w:val="RedEvidenceTag"/>
      </w:pPr>
      <w:r>
        <w:lastRenderedPageBreak/>
        <w:t>Doesn’t Predict Legal Precedent</w:t>
      </w:r>
    </w:p>
    <w:p w14:paraId="45ACFE8C" w14:textId="77777777" w:rsidR="00FC267A" w:rsidRDefault="00FC267A" w:rsidP="00FC267A">
      <w:pPr>
        <w:pStyle w:val="RedEvidenceCitation"/>
      </w:pPr>
      <w:r>
        <w:t xml:space="preserve">Paul Rosenzweig. “Carpenter v. United States and the Law of the Chancellor’s Foot.” Lawfare, July 1, 2018, </w:t>
      </w:r>
      <w:hyperlink r:id="rId13" w:history="1">
        <w:r w:rsidRPr="002A668E">
          <w:rPr>
            <w:rStyle w:val="Hyperlink"/>
          </w:rPr>
          <w:t>www.lawfareblog.com/carpenter-v-united-states-and-law-chancellors-foot</w:t>
        </w:r>
      </w:hyperlink>
      <w:r w:rsidRPr="002958A7">
        <w:t>.</w:t>
      </w:r>
      <w:r>
        <w:t xml:space="preserve"> </w:t>
      </w:r>
    </w:p>
    <w:p w14:paraId="15D18B38" w14:textId="22D69AA5" w:rsidR="00FC267A" w:rsidRPr="00FC267A" w:rsidRDefault="00FC267A" w:rsidP="00FC267A">
      <w:pPr>
        <w:pStyle w:val="RedEvidenceTag"/>
        <w:ind w:left="360"/>
        <w:rPr>
          <w:rFonts w:eastAsiaTheme="minorHAnsi"/>
          <w:b w:val="0"/>
          <w:u w:val="single"/>
        </w:rPr>
      </w:pPr>
      <w:bookmarkStart w:id="2" w:name="_Toc532875878"/>
      <w:r w:rsidRPr="00FC267A">
        <w:rPr>
          <w:rFonts w:eastAsiaTheme="minorHAnsi"/>
          <w:b w:val="0"/>
        </w:rPr>
        <w:t xml:space="preserve">Oliver Wendell Holmes once said that “The prophecies of what the court will do in fact, and nothing more pretentious, are what I mean by the law.” By that standard, I respectfully submit that the Supreme Court’s decision in Carpenter v. United States is not law.  </w:t>
      </w:r>
      <w:r w:rsidRPr="00FC267A">
        <w:rPr>
          <w:rFonts w:eastAsiaTheme="minorHAnsi"/>
          <w:b w:val="0"/>
          <w:u w:val="single"/>
        </w:rPr>
        <w:t>Anyone who says they can read the majority opinion and predict with any degree of confidence how the Court will deal with any number of future technologies—be they biometrics, facial recognition, DNA or real-time cell-site location information (CSLI)—is, frankly, just making it up. Rather, Carpenter is the second in a series of decisions penned by Chief Justice John Roberts (the first being Riley v. California) that, with all due respect to the chief, amount to little more than the law of the Chancellor’s Foot—that is, the law that depends exclusively on the predilections and tendencies of the decision-maker.</w:t>
      </w:r>
    </w:p>
    <w:bookmarkEnd w:id="2"/>
    <w:p w14:paraId="4099A8DF" w14:textId="4787FECC" w:rsidR="001F62BD" w:rsidRDefault="00FC267A" w:rsidP="00FC267A">
      <w:pPr>
        <w:pStyle w:val="RedEvidenceTag"/>
      </w:pPr>
      <w:r>
        <w:t>Doesn’t Prevent Majority of Private Information Collection</w:t>
      </w:r>
    </w:p>
    <w:p w14:paraId="1DA0CB2D" w14:textId="35AF2001" w:rsidR="00CB30D8" w:rsidRDefault="00CB30D8" w:rsidP="00FC267A">
      <w:pPr>
        <w:pStyle w:val="RedEvidenceTag"/>
        <w:ind w:left="360"/>
        <w:rPr>
          <w:rFonts w:eastAsiaTheme="minorHAnsi"/>
          <w:b w:val="0"/>
          <w:i/>
        </w:rPr>
      </w:pPr>
      <w:bookmarkStart w:id="3" w:name="_Toc532875879"/>
      <w:r w:rsidRPr="00CB30D8">
        <w:rPr>
          <w:rFonts w:eastAsiaTheme="minorHAnsi"/>
          <w:b w:val="0"/>
          <w:i/>
        </w:rPr>
        <w:t xml:space="preserve">Ott, Chris. “INSIGHT: Cracking Open a Can of Worms: Why Carpenter v. United States May Not Be the Privacy Decision That Was Needed ... or Wanted.” Tech &amp; Telecom on Bloomberg Law, Bloomberg Law, 9 July 2018, </w:t>
      </w:r>
      <w:hyperlink r:id="rId14" w:history="1">
        <w:r w:rsidRPr="00151CA1">
          <w:rPr>
            <w:rStyle w:val="Hyperlink"/>
            <w:rFonts w:eastAsiaTheme="minorHAnsi"/>
            <w:b w:val="0"/>
            <w:i/>
          </w:rPr>
          <w:t>www.bna.com/insight-cracking-open-n73014477217/</w:t>
        </w:r>
      </w:hyperlink>
      <w:r w:rsidRPr="00CB30D8">
        <w:rPr>
          <w:rFonts w:eastAsiaTheme="minorHAnsi"/>
          <w:b w:val="0"/>
          <w:i/>
        </w:rPr>
        <w:t>.</w:t>
      </w:r>
    </w:p>
    <w:p w14:paraId="29EDF764" w14:textId="4166BE56" w:rsidR="00FC267A" w:rsidRDefault="00FC267A" w:rsidP="00FC267A">
      <w:pPr>
        <w:pStyle w:val="RedEvidenceTag"/>
        <w:ind w:left="360"/>
        <w:rPr>
          <w:rFonts w:eastAsiaTheme="minorHAnsi"/>
          <w:b w:val="0"/>
        </w:rPr>
      </w:pPr>
      <w:bookmarkStart w:id="4" w:name="_GoBack"/>
      <w:bookmarkEnd w:id="4"/>
      <w:r w:rsidRPr="00FC267A">
        <w:rPr>
          <w:rFonts w:eastAsiaTheme="minorHAnsi"/>
          <w:b w:val="0"/>
        </w:rPr>
        <w:t xml:space="preserve">For one, the decision’s factual scope is explicitly narrow. </w:t>
      </w:r>
      <w:r w:rsidRPr="00FC267A">
        <w:rPr>
          <w:rFonts w:eastAsiaTheme="minorHAnsi"/>
          <w:b w:val="0"/>
          <w:u w:val="single"/>
        </w:rPr>
        <w:t>The Court declined to decide whether obtaining historical CSLI data covering less than one week of activity would require a warrant.</w:t>
      </w:r>
      <w:r w:rsidRPr="00FC267A">
        <w:rPr>
          <w:rFonts w:eastAsiaTheme="minorHAnsi"/>
          <w:b w:val="0"/>
        </w:rPr>
        <w:t xml:space="preserve"> Carpenter, 2018 BL 222220, at *51 n.3. </w:t>
      </w:r>
      <w:r w:rsidRPr="00FC267A">
        <w:rPr>
          <w:rFonts w:eastAsiaTheme="minorHAnsi"/>
          <w:b w:val="0"/>
          <w:u w:val="single"/>
        </w:rPr>
        <w:t>Thus, the decision on its face does not even bar all warrantless CSLI collection.</w:t>
      </w:r>
      <w:r w:rsidRPr="00FC267A">
        <w:rPr>
          <w:rFonts w:eastAsiaTheme="minorHAnsi"/>
          <w:b w:val="0"/>
        </w:rPr>
        <w:t xml:space="preserve"> </w:t>
      </w:r>
      <w:r w:rsidRPr="00FC267A">
        <w:rPr>
          <w:rFonts w:eastAsiaTheme="minorHAnsi"/>
          <w:b w:val="0"/>
          <w:u w:val="single"/>
        </w:rPr>
        <w:t>Perhaps more perplexing, the decision does not bar “tower dumps,” which is the download of everyone’s cell service location data—not just a suspect’s—in a wedge-shaped area covering up to four square miles from a particular tower.</w:t>
      </w:r>
      <w:r w:rsidRPr="00FC267A">
        <w:rPr>
          <w:rFonts w:eastAsiaTheme="minorHAnsi"/>
          <w:b w:val="0"/>
        </w:rPr>
        <w:t xml:space="preserve"> Carpenter, 2018 BL 222220, at *17.”</w:t>
      </w:r>
    </w:p>
    <w:bookmarkEnd w:id="3"/>
    <w:p w14:paraId="609B2E7C" w14:textId="07BF198A" w:rsidR="00B612F8" w:rsidRDefault="00FC267A" w:rsidP="00FC267A">
      <w:pPr>
        <w:pStyle w:val="RedEvidenceTag"/>
      </w:pPr>
      <w:r>
        <w:t>Net Decrease in Privacy Predicted</w:t>
      </w:r>
    </w:p>
    <w:p w14:paraId="1C590B66" w14:textId="4D2C657C" w:rsidR="00B612F8" w:rsidRDefault="00FC267A" w:rsidP="00B612F8">
      <w:pPr>
        <w:pStyle w:val="RedEvidenceCitation"/>
      </w:pPr>
      <w:r w:rsidRPr="00FC267A">
        <w:t xml:space="preserve">Ott, Chris. “INSIGHT: Cracking Open a Can of Worms: Why Carpenter v. United States May Not Be the Privacy Decision That Was Needed ... or Wanted.” Tech &amp; Telecom on Bloomberg Law, Bloomberg Law, 9 July 2018, </w:t>
      </w:r>
      <w:hyperlink r:id="rId15" w:history="1">
        <w:r w:rsidR="008A57FF" w:rsidRPr="002A668E">
          <w:rPr>
            <w:rStyle w:val="Hyperlink"/>
          </w:rPr>
          <w:t>www.bna.com/insight-cracking-open-n73014477217/</w:t>
        </w:r>
      </w:hyperlink>
      <w:r w:rsidRPr="00FC267A">
        <w:t>.</w:t>
      </w:r>
    </w:p>
    <w:p w14:paraId="6BC705DF" w14:textId="4D3928A8" w:rsidR="008A57FF" w:rsidRPr="008A57FF" w:rsidRDefault="008A57FF" w:rsidP="008A57FF">
      <w:pPr>
        <w:pStyle w:val="RedEvidenceTag"/>
        <w:ind w:left="360"/>
        <w:rPr>
          <w:rFonts w:eastAsiaTheme="minorHAnsi"/>
          <w:b w:val="0"/>
          <w:u w:val="single"/>
        </w:rPr>
      </w:pPr>
      <w:bookmarkStart w:id="5" w:name="_Toc532875880"/>
      <w:r w:rsidRPr="008A57FF">
        <w:rPr>
          <w:rFonts w:eastAsiaTheme="minorHAnsi"/>
          <w:b w:val="0"/>
        </w:rPr>
        <w:t xml:space="preserve">In Carpenter, law enforcement sought no process on Carpenter’s data other than the SCA order for the carriers’ CSLI. All that the investigators needed was Carpenter’s proximity to the robberies to pair with the other evidence that they gathered implicating him. </w:t>
      </w:r>
      <w:r w:rsidRPr="008A57FF">
        <w:rPr>
          <w:rFonts w:eastAsiaTheme="minorHAnsi"/>
          <w:b w:val="0"/>
          <w:u w:val="single"/>
        </w:rPr>
        <w:t xml:space="preserve">However, if they were required to write a search warrant, and they had possession of enough appropriate evidence, there </w:t>
      </w:r>
      <w:proofErr w:type="gramStart"/>
      <w:r w:rsidRPr="008A57FF">
        <w:rPr>
          <w:rFonts w:eastAsiaTheme="minorHAnsi"/>
          <w:b w:val="0"/>
          <w:u w:val="single"/>
        </w:rPr>
        <w:t>would be no good</w:t>
      </w:r>
      <w:proofErr w:type="gramEnd"/>
      <w:r w:rsidRPr="008A57FF">
        <w:rPr>
          <w:rFonts w:eastAsiaTheme="minorHAnsi"/>
          <w:b w:val="0"/>
          <w:u w:val="single"/>
        </w:rPr>
        <w:t xml:space="preserve"> reason for law enforcement to confine the warrant to CSLI over more revealing evidence, such as the phone itself and its content. If location data is private, then law enforcement will seek more warrants to look inside that private garden</w:t>
      </w:r>
      <w:r w:rsidRPr="008A57FF">
        <w:rPr>
          <w:rFonts w:eastAsiaTheme="minorHAnsi"/>
          <w:b w:val="0"/>
        </w:rPr>
        <w:t>.</w:t>
      </w:r>
      <w:r>
        <w:rPr>
          <w:rFonts w:eastAsiaTheme="minorHAnsi"/>
          <w:b w:val="0"/>
        </w:rPr>
        <w:t xml:space="preserve"> </w:t>
      </w:r>
      <w:r w:rsidRPr="008A57FF">
        <w:rPr>
          <w:rFonts w:eastAsiaTheme="minorHAnsi"/>
          <w:b w:val="0"/>
        </w:rPr>
        <w:t xml:space="preserve">It may be that, in future cases, short historical CSLI orders and “tower dumps” will be deemed searches under the Fourth Amendment as well. However, in many cases, a combination of pen register returns and subpoenaed toll records, none of which require warrants, will likely still support an adequate quantum of individualized suspicion to obtain a warrant. </w:t>
      </w:r>
      <w:r w:rsidRPr="008A57FF">
        <w:rPr>
          <w:rFonts w:eastAsiaTheme="minorHAnsi"/>
          <w:b w:val="0"/>
          <w:u w:val="single"/>
        </w:rPr>
        <w:t>By holding that CSLI location data held by parties is covered by the Fourth Amendment, the Court has raised the risk that more classical Fourth Amendment information will be placed in law enforcement crosshairs.</w:t>
      </w:r>
    </w:p>
    <w:bookmarkEnd w:id="5"/>
    <w:p w14:paraId="483E3C36" w14:textId="77777777" w:rsidR="008A57FF" w:rsidRDefault="008A57FF" w:rsidP="008A57FF">
      <w:pPr>
        <w:pStyle w:val="RedEvidenceTag"/>
      </w:pPr>
    </w:p>
    <w:p w14:paraId="7A531E13" w14:textId="77777777" w:rsidR="008A57FF" w:rsidRDefault="008A57FF" w:rsidP="008A57FF">
      <w:pPr>
        <w:pStyle w:val="RedEvidenceTag"/>
      </w:pPr>
    </w:p>
    <w:p w14:paraId="109A2CCA" w14:textId="77777777" w:rsidR="008A57FF" w:rsidRDefault="008A57FF" w:rsidP="008A57FF">
      <w:pPr>
        <w:pStyle w:val="RedEvidenceTag"/>
      </w:pPr>
    </w:p>
    <w:p w14:paraId="099B53AD" w14:textId="77777777" w:rsidR="008A57FF" w:rsidRDefault="008A57FF" w:rsidP="008A57FF">
      <w:pPr>
        <w:pStyle w:val="RedEvidenceTag"/>
      </w:pPr>
    </w:p>
    <w:p w14:paraId="78E60A06" w14:textId="05B4F157" w:rsidR="00B612F8" w:rsidRDefault="008A57FF" w:rsidP="008A57FF">
      <w:pPr>
        <w:pStyle w:val="RedEvidenceTag"/>
      </w:pPr>
      <w:r>
        <w:t>Decision Not Relevant to Modern or Future Privacy</w:t>
      </w:r>
    </w:p>
    <w:p w14:paraId="1F170F3D" w14:textId="1DB6DE2C" w:rsidR="00B612F8" w:rsidRDefault="008A57FF" w:rsidP="00B612F8">
      <w:pPr>
        <w:pStyle w:val="RedEvidenceCitation"/>
      </w:pPr>
      <w:r w:rsidRPr="008A57FF">
        <w:t xml:space="preserve">Ott, Chris. “INSIGHT: Cracking Open a Can of Worms: Why Carpenter v. United States May Not Be the Privacy Decision That Was Needed ... or Wanted.” Tech &amp; Telecom on Bloomberg Law, Bloomberg Law, 9 July 2018, </w:t>
      </w:r>
      <w:hyperlink r:id="rId16" w:history="1">
        <w:r w:rsidRPr="002A668E">
          <w:rPr>
            <w:rStyle w:val="Hyperlink"/>
          </w:rPr>
          <w:t>www.bna.com/insight-cracking-open-n73014477217/</w:t>
        </w:r>
      </w:hyperlink>
      <w:r w:rsidRPr="008A57FF">
        <w:t>.</w:t>
      </w:r>
      <w:r>
        <w:t xml:space="preserve"> </w:t>
      </w:r>
    </w:p>
    <w:p w14:paraId="529DC606" w14:textId="5418F507" w:rsidR="008A57FF" w:rsidRDefault="008A57FF" w:rsidP="00DE5C46">
      <w:pPr>
        <w:pStyle w:val="RedEvidenceTag"/>
        <w:ind w:left="360"/>
        <w:rPr>
          <w:rFonts w:eastAsiaTheme="minorHAnsi"/>
          <w:b w:val="0"/>
        </w:rPr>
      </w:pPr>
      <w:bookmarkStart w:id="6" w:name="_Toc532875881"/>
      <w:r w:rsidRPr="008A57FF">
        <w:rPr>
          <w:rFonts w:eastAsiaTheme="minorHAnsi"/>
          <w:b w:val="0"/>
        </w:rPr>
        <w:t>While the decision will likely always be historically significant when assessing governmental access to digital evidence and an individual’s right to privacy, it could bear very little relevance to the technologies and laws that we actually live with</w:t>
      </w:r>
      <w:r w:rsidR="0042767D">
        <w:rPr>
          <w:rFonts w:eastAsiaTheme="minorHAnsi"/>
          <w:b w:val="0"/>
        </w:rPr>
        <w:t>.</w:t>
      </w:r>
    </w:p>
    <w:bookmarkEnd w:id="6"/>
    <w:p w14:paraId="0AC66A0D" w14:textId="2530A8E7" w:rsidR="009F54CA" w:rsidRPr="008A57FF" w:rsidRDefault="00DE5C46" w:rsidP="008A57FF">
      <w:pPr>
        <w:pStyle w:val="RedEvidenceTag"/>
        <w:rPr>
          <w:rFonts w:eastAsiaTheme="minorHAnsi"/>
          <w:b w:val="0"/>
        </w:rPr>
      </w:pPr>
      <w:r>
        <w:t xml:space="preserve">Doesn’t </w:t>
      </w:r>
      <w:r w:rsidR="00637064">
        <w:t>Protect Majority</w:t>
      </w:r>
      <w:r>
        <w:t xml:space="preserve"> Privacy of Location</w:t>
      </w:r>
    </w:p>
    <w:p w14:paraId="23792300" w14:textId="3819E744" w:rsidR="00DE5C46" w:rsidRDefault="00DE5C46" w:rsidP="00DE5C46">
      <w:pPr>
        <w:pStyle w:val="RedEvidenceTag"/>
        <w:ind w:left="360"/>
        <w:rPr>
          <w:rFonts w:eastAsiaTheme="minorHAnsi"/>
          <w:b w:val="0"/>
          <w:i/>
        </w:rPr>
      </w:pPr>
      <w:bookmarkStart w:id="7" w:name="_Toc532875882"/>
      <w:r w:rsidRPr="00DE5C46">
        <w:rPr>
          <w:rFonts w:eastAsiaTheme="minorHAnsi"/>
          <w:b w:val="0"/>
          <w:i/>
        </w:rPr>
        <w:t xml:space="preserve">Howe, Amy. “Opinion Analysis: Court Holds That Police Will Generally Need a Warrant for Sustained Cellphone Location Information (Updated).” </w:t>
      </w:r>
      <w:proofErr w:type="spellStart"/>
      <w:r w:rsidRPr="00DE5C46">
        <w:rPr>
          <w:rFonts w:eastAsiaTheme="minorHAnsi"/>
          <w:b w:val="0"/>
          <w:i/>
        </w:rPr>
        <w:t>SCOTUSblog</w:t>
      </w:r>
      <w:proofErr w:type="spellEnd"/>
      <w:r w:rsidRPr="00DE5C46">
        <w:rPr>
          <w:rFonts w:eastAsiaTheme="minorHAnsi"/>
          <w:b w:val="0"/>
          <w:i/>
        </w:rPr>
        <w:t xml:space="preserve">, 22 June 2018, </w:t>
      </w:r>
      <w:hyperlink r:id="rId17" w:history="1">
        <w:r w:rsidRPr="002A668E">
          <w:rPr>
            <w:rStyle w:val="Hyperlink"/>
            <w:rFonts w:eastAsiaTheme="minorHAnsi"/>
            <w:b w:val="0"/>
            <w:i/>
          </w:rPr>
          <w:t>www.scotusblog.com/2018/06/opinion-analysis-court-holds-that-police-will-generally-need-a-warrant-for-cellphone-location-information/</w:t>
        </w:r>
      </w:hyperlink>
      <w:r w:rsidRPr="00DE5C46">
        <w:rPr>
          <w:rFonts w:eastAsiaTheme="minorHAnsi"/>
          <w:b w:val="0"/>
          <w:i/>
        </w:rPr>
        <w:t>.</w:t>
      </w:r>
    </w:p>
    <w:p w14:paraId="7D03776A" w14:textId="77777777" w:rsidR="00AF59D0" w:rsidRDefault="00AF59D0" w:rsidP="00AF59D0">
      <w:pPr>
        <w:pStyle w:val="RedEvidenceTag"/>
        <w:ind w:left="360"/>
        <w:rPr>
          <w:rFonts w:eastAsiaTheme="minorHAnsi"/>
          <w:b w:val="0"/>
        </w:rPr>
      </w:pPr>
      <w:r w:rsidRPr="00AF59D0">
        <w:rPr>
          <w:rFonts w:eastAsiaTheme="minorHAnsi"/>
          <w:b w:val="0"/>
          <w:u w:val="single"/>
        </w:rPr>
        <w:t>Roberts emphasized that today’s ruling “is a narrow one” that applies only to historical cell-site location records. He took pains to point out that the ruling did not “express a view on” other privacy issues, such as obtaining cell-site location records in real time, or getting information about all of the phones that connected to a particular tower at a particular time.</w:t>
      </w:r>
      <w:r w:rsidRPr="00AF59D0">
        <w:rPr>
          <w:rFonts w:eastAsiaTheme="minorHAnsi"/>
          <w:b w:val="0"/>
        </w:rPr>
        <w:t xml:space="preserve"> He acknowledged that law-enforcement officials might sometimes still be able to obtain cell-site location records without a warrant – for example, to deal with emergencies such as “bomb threats, active shootings, and child abductions.” </w:t>
      </w:r>
      <w:r w:rsidRPr="00AF59D0">
        <w:rPr>
          <w:rFonts w:eastAsiaTheme="minorHAnsi"/>
          <w:b w:val="0"/>
          <w:u w:val="single"/>
        </w:rPr>
        <w:t>And in a footnote, he also left open the possibility that law-enforcement officials might not need a warrant to obtain cell-site location records for a shorter period of time than the seven days at issue in Carpenter’s case – which might allow them to get information about where someone was on the day of a crime, for example.</w:t>
      </w:r>
    </w:p>
    <w:bookmarkEnd w:id="7"/>
    <w:p w14:paraId="462221C6" w14:textId="32B8DDF8" w:rsidR="00F01D26" w:rsidRDefault="00FC76B1" w:rsidP="00AF59D0">
      <w:pPr>
        <w:pStyle w:val="RedEvidenceTag"/>
      </w:pPr>
      <w:r>
        <w:t>Third-Party Doctrine Still Upheld</w:t>
      </w:r>
    </w:p>
    <w:p w14:paraId="2370E151" w14:textId="40D1C51C" w:rsidR="00FC76B1" w:rsidRDefault="00FC76B1" w:rsidP="00FC76B1">
      <w:pPr>
        <w:pStyle w:val="RedEvidenceTag"/>
        <w:ind w:left="360"/>
        <w:rPr>
          <w:rFonts w:eastAsiaTheme="minorHAnsi"/>
          <w:b w:val="0"/>
          <w:i/>
        </w:rPr>
      </w:pPr>
      <w:bookmarkStart w:id="8" w:name="_Toc532875883"/>
      <w:proofErr w:type="spellStart"/>
      <w:r w:rsidRPr="00FC76B1">
        <w:rPr>
          <w:rFonts w:eastAsiaTheme="minorHAnsi"/>
          <w:b w:val="0"/>
          <w:i/>
        </w:rPr>
        <w:t>Skorup</w:t>
      </w:r>
      <w:proofErr w:type="spellEnd"/>
      <w:r w:rsidRPr="00FC76B1">
        <w:rPr>
          <w:rFonts w:eastAsiaTheme="minorHAnsi"/>
          <w:b w:val="0"/>
          <w:i/>
        </w:rPr>
        <w:t xml:space="preserve">, Brent, and Jennifer Huddleston </w:t>
      </w:r>
      <w:proofErr w:type="spellStart"/>
      <w:r w:rsidRPr="00FC76B1">
        <w:rPr>
          <w:rFonts w:eastAsiaTheme="minorHAnsi"/>
          <w:b w:val="0"/>
          <w:i/>
        </w:rPr>
        <w:t>Skees</w:t>
      </w:r>
      <w:proofErr w:type="spellEnd"/>
      <w:r w:rsidRPr="00FC76B1">
        <w:rPr>
          <w:rFonts w:eastAsiaTheme="minorHAnsi"/>
          <w:b w:val="0"/>
          <w:i/>
        </w:rPr>
        <w:t xml:space="preserve">. “Bringing Constitutional Doctrine into the Digital Age.” The Washington Times, The Washington Times, 3 July 2018, </w:t>
      </w:r>
      <w:hyperlink r:id="rId18" w:history="1">
        <w:r w:rsidRPr="002A668E">
          <w:rPr>
            <w:rStyle w:val="Hyperlink"/>
            <w:rFonts w:eastAsiaTheme="minorHAnsi"/>
            <w:b w:val="0"/>
            <w:i/>
          </w:rPr>
          <w:t>www.washingtontimes.com/news/2018/jul/3/carpenter-v-united-states-provides-necessary-updat/</w:t>
        </w:r>
      </w:hyperlink>
      <w:r w:rsidRPr="00FC76B1">
        <w:rPr>
          <w:rFonts w:eastAsiaTheme="minorHAnsi"/>
          <w:b w:val="0"/>
          <w:i/>
        </w:rPr>
        <w:t>.</w:t>
      </w:r>
    </w:p>
    <w:p w14:paraId="2A6A53E7" w14:textId="203EC74F" w:rsidR="00FC76B1" w:rsidRDefault="00FC76B1" w:rsidP="00FC76B1">
      <w:pPr>
        <w:pStyle w:val="RedEvidenceTag"/>
        <w:ind w:left="360"/>
        <w:rPr>
          <w:rFonts w:eastAsiaTheme="minorHAnsi"/>
          <w:b w:val="0"/>
        </w:rPr>
      </w:pPr>
      <w:r w:rsidRPr="00FC76B1">
        <w:rPr>
          <w:rFonts w:eastAsiaTheme="minorHAnsi"/>
          <w:b w:val="0"/>
        </w:rPr>
        <w:t xml:space="preserve">It should be noted that the Carpenter decision does not eliminate the third-party doctrine. </w:t>
      </w:r>
      <w:r w:rsidRPr="00FC76B1">
        <w:rPr>
          <w:rFonts w:eastAsiaTheme="minorHAnsi"/>
          <w:b w:val="0"/>
          <w:u w:val="single"/>
        </w:rPr>
        <w:t>For the time being, police generally aren’t required to get a warrant for other third-party data like credit card transactions and documents and videos people transmit to the cloud.</w:t>
      </w:r>
    </w:p>
    <w:bookmarkEnd w:id="8"/>
    <w:p w14:paraId="1F2238C0" w14:textId="78B1BAE0" w:rsidR="00F01D26" w:rsidRDefault="0042767D" w:rsidP="00F01D26">
      <w:pPr>
        <w:pStyle w:val="RedEvidenceTag"/>
      </w:pPr>
      <w:r>
        <w:t>Doesn’t Accurately Reflect the Present Reality of Technology</w:t>
      </w:r>
    </w:p>
    <w:p w14:paraId="32EF3D56" w14:textId="17079D51" w:rsidR="003F6508" w:rsidRDefault="003F6508" w:rsidP="0042767D">
      <w:pPr>
        <w:pStyle w:val="RedEvidence"/>
        <w:rPr>
          <w:i/>
        </w:rPr>
      </w:pPr>
      <w:r w:rsidRPr="003F6508">
        <w:rPr>
          <w:i/>
        </w:rPr>
        <w:t xml:space="preserve">Kerr, Orin. “First Thoughts on Carpenter v. United States.” Reason.com, Reason, 22 June 2018, </w:t>
      </w:r>
      <w:hyperlink r:id="rId19" w:history="1">
        <w:r w:rsidRPr="002A668E">
          <w:rPr>
            <w:rStyle w:val="Hyperlink"/>
            <w:i/>
          </w:rPr>
          <w:t>www.reason.com/volokh/2018/06/22/first-thoughts-on-carpenter-v-united-sta</w:t>
        </w:r>
      </w:hyperlink>
      <w:r w:rsidRPr="003F6508">
        <w:rPr>
          <w:i/>
        </w:rPr>
        <w:t>.</w:t>
      </w:r>
      <w:r>
        <w:rPr>
          <w:i/>
        </w:rPr>
        <w:t xml:space="preserve"> </w:t>
      </w:r>
    </w:p>
    <w:p w14:paraId="7D4D775B" w14:textId="764F5D95" w:rsidR="00F01D26" w:rsidRDefault="0042767D" w:rsidP="00256EE1">
      <w:pPr>
        <w:pStyle w:val="RedEvidence"/>
      </w:pPr>
      <w:r>
        <w:lastRenderedPageBreak/>
        <w:t xml:space="preserve">This is one of the most interesting aspects of the opinion. Instead of focusing on the facts of this case, the Court seems more interested in where the technology is thought to be going. </w:t>
      </w:r>
      <w:r w:rsidRPr="0042767D">
        <w:rPr>
          <w:u w:val="single"/>
        </w:rPr>
        <w:t xml:space="preserve">The record in this case indicates that the records only where </w:t>
      </w:r>
      <w:r w:rsidR="00503BB5">
        <w:rPr>
          <w:u w:val="single"/>
        </w:rPr>
        <w:t xml:space="preserve">(sic) </w:t>
      </w:r>
      <w:r w:rsidRPr="0042767D">
        <w:rPr>
          <w:u w:val="single"/>
        </w:rPr>
        <w:t xml:space="preserve">precise to a range of 0.5 to 2 miles, and that records where only generated when a call was actually placed. It just reveals the neighborhood the phone was in when a call was made. But the Chief Justice's opinion presents the technology as vastly more invasive and detailed than the record indicates. </w:t>
      </w:r>
      <w:r>
        <w:t xml:space="preserve">It is absolute perfect surveillance, in the Court's vision, like a GPS device around a person's ankle. In response to the dissent's pointing out the record, the Chief Justice says we have to take into account where the technology is going. "The accuracy of CSLI is rapidly approaching GPS-level precision," the Chief Justice predicts, and the Court has to adopt a rule in light of what the technology will look like then. </w:t>
      </w:r>
      <w:r w:rsidRPr="0042767D">
        <w:rPr>
          <w:u w:val="single"/>
        </w:rPr>
        <w:t>In effect, the technology isn't actually perfect and absolute surveillance now, but the Justices are confident that it is going to be that eventually</w:t>
      </w:r>
      <w:r w:rsidR="003F6508">
        <w:rPr>
          <w:u w:val="single"/>
        </w:rPr>
        <w:t>.</w:t>
      </w:r>
    </w:p>
    <w:p w14:paraId="7668518D" w14:textId="0A8D3627" w:rsidR="00655E4F" w:rsidRDefault="00C51D8E" w:rsidP="00655E4F">
      <w:pPr>
        <w:pStyle w:val="RedEvidenceTag"/>
      </w:pPr>
      <w:r>
        <w:t>Hamstrings Law Enforcement</w:t>
      </w:r>
    </w:p>
    <w:p w14:paraId="785AE68E" w14:textId="609D0FC0" w:rsidR="00C51D8E" w:rsidRDefault="00C51D8E" w:rsidP="00C51D8E">
      <w:pPr>
        <w:pStyle w:val="RedEvidenceTag"/>
        <w:ind w:left="360"/>
        <w:rPr>
          <w:rFonts w:eastAsiaTheme="minorHAnsi"/>
          <w:b w:val="0"/>
          <w:i/>
        </w:rPr>
      </w:pPr>
      <w:bookmarkStart w:id="9" w:name="_Toc532875885"/>
      <w:r w:rsidRPr="00C51D8E">
        <w:rPr>
          <w:rFonts w:eastAsiaTheme="minorHAnsi"/>
          <w:b w:val="0"/>
          <w:i/>
        </w:rPr>
        <w:t xml:space="preserve">Lederman, Marty. “Carpenter's Curiosities (and Its Potential to Unsettle Longstanding Fourth Amendment Doctrine).” </w:t>
      </w:r>
      <w:proofErr w:type="spellStart"/>
      <w:r w:rsidRPr="00C51D8E">
        <w:rPr>
          <w:rFonts w:eastAsiaTheme="minorHAnsi"/>
          <w:b w:val="0"/>
          <w:i/>
        </w:rPr>
        <w:t>Balkinization</w:t>
      </w:r>
      <w:proofErr w:type="spellEnd"/>
      <w:r w:rsidRPr="00C51D8E">
        <w:rPr>
          <w:rFonts w:eastAsiaTheme="minorHAnsi"/>
          <w:b w:val="0"/>
          <w:i/>
        </w:rPr>
        <w:t xml:space="preserve">: Clouds Over the Project of Liberal Constitutionalism? - I, 26 June 2018, </w:t>
      </w:r>
      <w:hyperlink r:id="rId20" w:history="1">
        <w:r w:rsidRPr="002A668E">
          <w:rPr>
            <w:rStyle w:val="Hyperlink"/>
            <w:rFonts w:eastAsiaTheme="minorHAnsi"/>
            <w:b w:val="0"/>
            <w:i/>
          </w:rPr>
          <w:t>www.balkin.blogspot.com/2018/06/carpenter-s-curiosities-and-its.html</w:t>
        </w:r>
      </w:hyperlink>
      <w:r w:rsidRPr="00C51D8E">
        <w:rPr>
          <w:rFonts w:eastAsiaTheme="minorHAnsi"/>
          <w:b w:val="0"/>
          <w:i/>
        </w:rPr>
        <w:t>.</w:t>
      </w:r>
    </w:p>
    <w:p w14:paraId="31465342" w14:textId="1FAE2F57" w:rsidR="00C51D8E" w:rsidRDefault="00C51D8E" w:rsidP="00C51D8E">
      <w:pPr>
        <w:pStyle w:val="RedEvidenceTag"/>
        <w:ind w:left="360"/>
        <w:rPr>
          <w:rFonts w:eastAsiaTheme="minorHAnsi"/>
          <w:b w:val="0"/>
        </w:rPr>
      </w:pPr>
      <w:r w:rsidRPr="00C51D8E">
        <w:rPr>
          <w:rFonts w:eastAsiaTheme="minorHAnsi"/>
          <w:b w:val="0"/>
        </w:rPr>
        <w:t xml:space="preserve">Justice Alito laments that the Court's treatment of compulsory production as constitutionally equivalent to a "real search" is “revolutionary,” ignores "a century's worth of precedent," and will cause “upheaval.”  </w:t>
      </w:r>
      <w:r w:rsidRPr="00C51D8E">
        <w:rPr>
          <w:rFonts w:eastAsiaTheme="minorHAnsi"/>
          <w:b w:val="0"/>
          <w:u w:val="single"/>
        </w:rPr>
        <w:t>In particular, he warns that the Court's “holding that subpoenas must meet the same standard as conventional searches will seriously damage, if not destroy, their utility.”</w:t>
      </w:r>
      <w:r w:rsidRPr="00C51D8E">
        <w:rPr>
          <w:rFonts w:eastAsiaTheme="minorHAnsi"/>
          <w:b w:val="0"/>
        </w:rPr>
        <w:t xml:space="preserve">  </w:t>
      </w:r>
      <w:r w:rsidRPr="00C51D8E">
        <w:rPr>
          <w:rFonts w:eastAsiaTheme="minorHAnsi"/>
          <w:b w:val="0"/>
          <w:u w:val="single"/>
        </w:rPr>
        <w:t>Likewise, Justice Kennedy writes that "by invalidating the Government’s use of court-approved compulsory process in this case, the Court calls into question the subpoena practices of federal and state grand juries, legislatures, and other investigative bodies."</w:t>
      </w:r>
    </w:p>
    <w:bookmarkEnd w:id="9"/>
    <w:p w14:paraId="3AEF802B" w14:textId="6A5E5C99" w:rsidR="00655E4F" w:rsidRDefault="009377F7" w:rsidP="00655E4F">
      <w:pPr>
        <w:pStyle w:val="RedEvidenceTag"/>
      </w:pPr>
      <w:r>
        <w:t>No Guarantee of Lasting Consensus on Decision</w:t>
      </w:r>
    </w:p>
    <w:p w14:paraId="62C19706" w14:textId="0F06F9C3" w:rsidR="00503BB5" w:rsidRDefault="00503BB5" w:rsidP="00503BB5">
      <w:pPr>
        <w:pStyle w:val="RedEvidenceTag"/>
        <w:ind w:left="360"/>
        <w:rPr>
          <w:rFonts w:eastAsiaTheme="minorHAnsi"/>
          <w:b w:val="0"/>
          <w:i/>
        </w:rPr>
      </w:pPr>
      <w:bookmarkStart w:id="10" w:name="_Toc532875886"/>
      <w:proofErr w:type="spellStart"/>
      <w:r w:rsidRPr="00503BB5">
        <w:rPr>
          <w:rFonts w:eastAsiaTheme="minorHAnsi"/>
          <w:b w:val="0"/>
          <w:i/>
        </w:rPr>
        <w:t>Struyk</w:t>
      </w:r>
      <w:proofErr w:type="spellEnd"/>
      <w:r w:rsidRPr="00503BB5">
        <w:rPr>
          <w:rFonts w:eastAsiaTheme="minorHAnsi"/>
          <w:b w:val="0"/>
          <w:i/>
        </w:rPr>
        <w:t xml:space="preserve">, Ryan. “The Supreme Court Has Overturned More than 300 Rulings. Is Roe next?” CNN, Cable News Network, 6 Sept. 2018, </w:t>
      </w:r>
      <w:hyperlink r:id="rId21" w:history="1">
        <w:r w:rsidRPr="002A668E">
          <w:rPr>
            <w:rStyle w:val="Hyperlink"/>
            <w:rFonts w:eastAsiaTheme="minorHAnsi"/>
            <w:b w:val="0"/>
            <w:i/>
          </w:rPr>
          <w:t>www.cnn.com/2018/09/05/app-politics-section/history-overruled-supreme-court-roe/index.html</w:t>
        </w:r>
      </w:hyperlink>
      <w:r w:rsidRPr="00503BB5">
        <w:rPr>
          <w:rFonts w:eastAsiaTheme="minorHAnsi"/>
          <w:b w:val="0"/>
          <w:i/>
        </w:rPr>
        <w:t>.</w:t>
      </w:r>
    </w:p>
    <w:p w14:paraId="10B71218" w14:textId="1811178F" w:rsidR="00503BB5" w:rsidRPr="00503BB5" w:rsidRDefault="00503BB5" w:rsidP="00503BB5">
      <w:pPr>
        <w:pStyle w:val="RedEvidenceTag"/>
        <w:ind w:left="360"/>
        <w:rPr>
          <w:rFonts w:eastAsiaTheme="minorHAnsi"/>
          <w:b w:val="0"/>
          <w:u w:val="single"/>
        </w:rPr>
      </w:pPr>
      <w:r w:rsidRPr="00503BB5">
        <w:rPr>
          <w:rFonts w:eastAsiaTheme="minorHAnsi"/>
          <w:b w:val="0"/>
        </w:rPr>
        <w:t>A CNN analysis of data from the Congressional Research Service shows overruling Roe would be unusual but far from unprecedented:</w:t>
      </w:r>
      <w:r w:rsidRPr="00503BB5">
        <w:rPr>
          <w:rFonts w:eastAsiaTheme="minorHAnsi"/>
          <w:b w:val="0"/>
          <w:u w:val="single"/>
        </w:rPr>
        <w:t xml:space="preserve"> The Supreme Court has overruled more than 300 of its own cases throughout American history, including five dozen that lasted longer than the landmark abortion rights case to this point.</w:t>
      </w:r>
    </w:p>
    <w:bookmarkEnd w:id="10"/>
    <w:p w14:paraId="6158C40B" w14:textId="4EDFAF27" w:rsidR="004A6116" w:rsidRDefault="00256EE1" w:rsidP="00503BB5">
      <w:pPr>
        <w:pStyle w:val="RedEvidenceTag"/>
      </w:pPr>
      <w:r>
        <w:t>Impairs Investigative Juries</w:t>
      </w:r>
    </w:p>
    <w:p w14:paraId="61BF58B6" w14:textId="52F4FD32" w:rsidR="00256EE1" w:rsidRDefault="00256EE1" w:rsidP="00256EE1">
      <w:pPr>
        <w:pStyle w:val="RedEvidenceTag"/>
        <w:ind w:left="360"/>
        <w:rPr>
          <w:rFonts w:eastAsiaTheme="minorHAnsi"/>
          <w:b w:val="0"/>
          <w:i/>
        </w:rPr>
      </w:pPr>
      <w:bookmarkStart w:id="11" w:name="_Toc532875887"/>
      <w:r w:rsidRPr="00256EE1">
        <w:rPr>
          <w:rFonts w:eastAsiaTheme="minorHAnsi"/>
          <w:b w:val="0"/>
          <w:i/>
        </w:rPr>
        <w:t>Kennedy, Anthony. “16-402 Carpenter v. United States (Dissent).” SCOTUS, 22 June 2018.</w:t>
      </w:r>
      <w:r>
        <w:rPr>
          <w:rFonts w:eastAsiaTheme="minorHAnsi"/>
          <w:b w:val="0"/>
          <w:i/>
        </w:rPr>
        <w:t xml:space="preserve"> </w:t>
      </w:r>
      <w:hyperlink r:id="rId22" w:history="1">
        <w:r w:rsidRPr="002A668E">
          <w:rPr>
            <w:rStyle w:val="Hyperlink"/>
            <w:rFonts w:eastAsiaTheme="minorHAnsi"/>
            <w:b w:val="0"/>
            <w:i/>
          </w:rPr>
          <w:t>https://www.supremecourt.gov/opinions/17pdf/16-402_h315.pdf</w:t>
        </w:r>
      </w:hyperlink>
    </w:p>
    <w:p w14:paraId="437735FB" w14:textId="5011C9F0" w:rsidR="00B8123F" w:rsidRPr="003F0F87" w:rsidRDefault="00503BB5" w:rsidP="003F0F87">
      <w:pPr>
        <w:pStyle w:val="RedEvidenceTag"/>
        <w:ind w:left="360"/>
        <w:rPr>
          <w:rFonts w:eastAsiaTheme="minorHAnsi"/>
          <w:b w:val="0"/>
        </w:rPr>
      </w:pPr>
      <w:r w:rsidRPr="00503BB5">
        <w:rPr>
          <w:rFonts w:eastAsiaTheme="minorHAnsi"/>
          <w:b w:val="0"/>
        </w:rPr>
        <w:t>State and federal law</w:t>
      </w:r>
      <w:r>
        <w:rPr>
          <w:rFonts w:eastAsiaTheme="minorHAnsi"/>
          <w:b w:val="0"/>
        </w:rPr>
        <w:t xml:space="preserve"> </w:t>
      </w:r>
      <w:r w:rsidRPr="00503BB5">
        <w:rPr>
          <w:rFonts w:eastAsiaTheme="minorHAnsi"/>
          <w:b w:val="0"/>
        </w:rPr>
        <w:t>enforcement, for instance, often subpoena credit card</w:t>
      </w:r>
      <w:r>
        <w:rPr>
          <w:rFonts w:eastAsiaTheme="minorHAnsi"/>
          <w:b w:val="0"/>
        </w:rPr>
        <w:t xml:space="preserve"> </w:t>
      </w:r>
      <w:r w:rsidRPr="00503BB5">
        <w:rPr>
          <w:rFonts w:eastAsiaTheme="minorHAnsi"/>
          <w:b w:val="0"/>
        </w:rPr>
        <w:t>statements to develop probable cause to prosecute crimes</w:t>
      </w:r>
      <w:r>
        <w:rPr>
          <w:rFonts w:eastAsiaTheme="minorHAnsi"/>
          <w:b w:val="0"/>
        </w:rPr>
        <w:t xml:space="preserve"> </w:t>
      </w:r>
      <w:r w:rsidRPr="00503BB5">
        <w:rPr>
          <w:rFonts w:eastAsiaTheme="minorHAnsi"/>
          <w:b w:val="0"/>
        </w:rPr>
        <w:t>ranging from drug trafficking and distribution to</w:t>
      </w:r>
      <w:r>
        <w:rPr>
          <w:rFonts w:eastAsiaTheme="minorHAnsi"/>
          <w:b w:val="0"/>
        </w:rPr>
        <w:t xml:space="preserve"> </w:t>
      </w:r>
      <w:r w:rsidRPr="00503BB5">
        <w:rPr>
          <w:rFonts w:eastAsiaTheme="minorHAnsi"/>
          <w:b w:val="0"/>
        </w:rPr>
        <w:t>healthcare fraud to tax evasion. See United States v.</w:t>
      </w:r>
      <w:r>
        <w:rPr>
          <w:rFonts w:eastAsiaTheme="minorHAnsi"/>
          <w:b w:val="0"/>
        </w:rPr>
        <w:t xml:space="preserve"> </w:t>
      </w:r>
      <w:proofErr w:type="spellStart"/>
      <w:r w:rsidRPr="00503BB5">
        <w:rPr>
          <w:rFonts w:eastAsiaTheme="minorHAnsi"/>
          <w:b w:val="0"/>
        </w:rPr>
        <w:t>Phibbs</w:t>
      </w:r>
      <w:proofErr w:type="spellEnd"/>
      <w:r w:rsidRPr="00503BB5">
        <w:rPr>
          <w:rFonts w:eastAsiaTheme="minorHAnsi"/>
          <w:b w:val="0"/>
        </w:rPr>
        <w:t>, 999 F. 2d 1053 (CA6 1993) (drug distribution);</w:t>
      </w:r>
      <w:r>
        <w:rPr>
          <w:rFonts w:eastAsiaTheme="minorHAnsi"/>
          <w:b w:val="0"/>
        </w:rPr>
        <w:t xml:space="preserve"> </w:t>
      </w:r>
      <w:r w:rsidRPr="00503BB5">
        <w:rPr>
          <w:rFonts w:eastAsiaTheme="minorHAnsi"/>
          <w:b w:val="0"/>
        </w:rPr>
        <w:t>McCune v. DOJ, 592 Fed. Appx. 287 (CA5 2014)</w:t>
      </w:r>
      <w:r>
        <w:rPr>
          <w:rFonts w:eastAsiaTheme="minorHAnsi"/>
          <w:b w:val="0"/>
        </w:rPr>
        <w:t xml:space="preserve"> </w:t>
      </w:r>
      <w:r w:rsidRPr="00503BB5">
        <w:rPr>
          <w:rFonts w:eastAsiaTheme="minorHAnsi"/>
          <w:b w:val="0"/>
        </w:rPr>
        <w:t>(healthcare fraud); United States v. Green, 305 F. 3d 422</w:t>
      </w:r>
      <w:r>
        <w:rPr>
          <w:rFonts w:eastAsiaTheme="minorHAnsi"/>
          <w:b w:val="0"/>
        </w:rPr>
        <w:t xml:space="preserve"> </w:t>
      </w:r>
      <w:r w:rsidRPr="00503BB5">
        <w:rPr>
          <w:rFonts w:eastAsiaTheme="minorHAnsi"/>
          <w:b w:val="0"/>
        </w:rPr>
        <w:t>(CA6 2002) (drug trafficking and tax evasion); see also 12</w:t>
      </w:r>
      <w:r w:rsidR="00256EE1">
        <w:rPr>
          <w:rFonts w:eastAsiaTheme="minorHAnsi"/>
          <w:b w:val="0"/>
        </w:rPr>
        <w:t xml:space="preserve"> </w:t>
      </w:r>
      <w:r w:rsidRPr="00503BB5">
        <w:rPr>
          <w:rFonts w:eastAsiaTheme="minorHAnsi"/>
          <w:b w:val="0"/>
        </w:rPr>
        <w:t>U. S. C. §§3402(4), 3407 (allowing the Government to</w:t>
      </w:r>
      <w:r>
        <w:rPr>
          <w:rFonts w:eastAsiaTheme="minorHAnsi"/>
          <w:b w:val="0"/>
        </w:rPr>
        <w:t xml:space="preserve"> </w:t>
      </w:r>
      <w:r w:rsidRPr="00503BB5">
        <w:rPr>
          <w:rFonts w:eastAsiaTheme="minorHAnsi"/>
          <w:b w:val="0"/>
        </w:rPr>
        <w:t>subpoena financial records if “there is reason to believe</w:t>
      </w:r>
      <w:r w:rsidR="00256EE1">
        <w:rPr>
          <w:rFonts w:eastAsiaTheme="minorHAnsi"/>
          <w:b w:val="0"/>
        </w:rPr>
        <w:t xml:space="preserve"> </w:t>
      </w:r>
      <w:r w:rsidRPr="00503BB5">
        <w:rPr>
          <w:rFonts w:eastAsiaTheme="minorHAnsi"/>
          <w:b w:val="0"/>
        </w:rPr>
        <w:t>that the records sought are relevant to a legitimate law</w:t>
      </w:r>
      <w:r>
        <w:rPr>
          <w:rFonts w:eastAsiaTheme="minorHAnsi"/>
          <w:b w:val="0"/>
        </w:rPr>
        <w:t xml:space="preserve"> </w:t>
      </w:r>
      <w:r w:rsidRPr="00503BB5">
        <w:rPr>
          <w:rFonts w:eastAsiaTheme="minorHAnsi"/>
          <w:b w:val="0"/>
        </w:rPr>
        <w:t>enforcement inquiry”). Subpoenas also may be used to</w:t>
      </w:r>
      <w:r w:rsidR="00256EE1">
        <w:rPr>
          <w:rFonts w:eastAsiaTheme="minorHAnsi"/>
          <w:b w:val="0"/>
        </w:rPr>
        <w:t xml:space="preserve"> </w:t>
      </w:r>
      <w:r w:rsidRPr="00503BB5">
        <w:rPr>
          <w:rFonts w:eastAsiaTheme="minorHAnsi"/>
          <w:b w:val="0"/>
        </w:rPr>
        <w:t>obtain vehicle registration records, hotel records, employment records, and records of utility usage, to name just a</w:t>
      </w:r>
      <w:r w:rsidR="00256EE1">
        <w:rPr>
          <w:rFonts w:eastAsiaTheme="minorHAnsi"/>
          <w:b w:val="0"/>
        </w:rPr>
        <w:t xml:space="preserve"> </w:t>
      </w:r>
      <w:r w:rsidRPr="00503BB5">
        <w:rPr>
          <w:rFonts w:eastAsiaTheme="minorHAnsi"/>
          <w:b w:val="0"/>
        </w:rPr>
        <w:t>few other examples. See 1 LaFave, supra, §2.7(c).</w:t>
      </w:r>
      <w:r>
        <w:rPr>
          <w:rFonts w:eastAsiaTheme="minorHAnsi"/>
          <w:b w:val="0"/>
        </w:rPr>
        <w:t xml:space="preserve"> </w:t>
      </w:r>
      <w:r w:rsidRPr="00256EE1">
        <w:rPr>
          <w:rFonts w:eastAsiaTheme="minorHAnsi"/>
          <w:b w:val="0"/>
          <w:u w:val="single"/>
        </w:rPr>
        <w:t>And law enforcement officers are not alone in their</w:t>
      </w:r>
      <w:r w:rsidR="00256EE1" w:rsidRPr="00256EE1">
        <w:rPr>
          <w:rFonts w:eastAsiaTheme="minorHAnsi"/>
          <w:b w:val="0"/>
          <w:u w:val="single"/>
        </w:rPr>
        <w:t xml:space="preserve"> </w:t>
      </w:r>
      <w:r w:rsidRPr="00256EE1">
        <w:rPr>
          <w:rFonts w:eastAsiaTheme="minorHAnsi"/>
          <w:b w:val="0"/>
          <w:u w:val="single"/>
        </w:rPr>
        <w:t>reliance on subpoenas to obtain business records for legitimate investigations. Subpoenas also are used for investigatory purposes by state and federal grand juries, see United States v. Dionisio, 410 U. S. 1 (1973), state and</w:t>
      </w:r>
      <w:r w:rsidR="00256EE1" w:rsidRPr="00256EE1">
        <w:rPr>
          <w:rFonts w:eastAsiaTheme="minorHAnsi"/>
          <w:b w:val="0"/>
          <w:u w:val="single"/>
        </w:rPr>
        <w:t xml:space="preserve"> </w:t>
      </w:r>
      <w:r w:rsidRPr="00256EE1">
        <w:rPr>
          <w:rFonts w:eastAsiaTheme="minorHAnsi"/>
          <w:b w:val="0"/>
          <w:u w:val="single"/>
        </w:rPr>
        <w:t>federal administrative agencies, see Oklahoma Press, supra, and state and federal legislative bodies, see</w:t>
      </w:r>
      <w:r w:rsidR="00256EE1" w:rsidRPr="00256EE1">
        <w:rPr>
          <w:rFonts w:eastAsiaTheme="minorHAnsi"/>
          <w:b w:val="0"/>
          <w:u w:val="single"/>
        </w:rPr>
        <w:t xml:space="preserve"> </w:t>
      </w:r>
      <w:proofErr w:type="spellStart"/>
      <w:r w:rsidRPr="00256EE1">
        <w:rPr>
          <w:rFonts w:eastAsiaTheme="minorHAnsi"/>
          <w:b w:val="0"/>
          <w:u w:val="single"/>
        </w:rPr>
        <w:t>McPhaul</w:t>
      </w:r>
      <w:proofErr w:type="spellEnd"/>
      <w:r w:rsidRPr="00256EE1">
        <w:rPr>
          <w:rFonts w:eastAsiaTheme="minorHAnsi"/>
          <w:b w:val="0"/>
          <w:u w:val="single"/>
        </w:rPr>
        <w:t xml:space="preserve"> v. United States, 364 U. S. 372 (1960).</w:t>
      </w:r>
      <w:r w:rsidRPr="00503BB5">
        <w:rPr>
          <w:rFonts w:eastAsiaTheme="minorHAnsi"/>
          <w:b w:val="0"/>
        </w:rPr>
        <w:t xml:space="preserve"> </w:t>
      </w:r>
      <w:bookmarkEnd w:id="0"/>
      <w:bookmarkEnd w:id="11"/>
    </w:p>
    <w:sectPr w:rsidR="00B8123F" w:rsidRPr="003F0F87" w:rsidSect="006A159A">
      <w:headerReference w:type="default" r:id="rId23"/>
      <w:footerReference w:type="default" r:id="rId24"/>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12C3C7" w14:textId="77777777" w:rsidR="00DC10D6" w:rsidRDefault="00DC10D6" w:rsidP="00DB7B76">
      <w:pPr>
        <w:spacing w:after="0" w:line="240" w:lineRule="auto"/>
      </w:pPr>
      <w:r>
        <w:separator/>
      </w:r>
    </w:p>
  </w:endnote>
  <w:endnote w:type="continuationSeparator" w:id="0">
    <w:p w14:paraId="04EFD907" w14:textId="77777777" w:rsidR="00DC10D6" w:rsidRDefault="00DC10D6"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CBC8B2" w14:textId="77777777" w:rsidR="001A642C" w:rsidRPr="00F710D5" w:rsidRDefault="001A642C" w:rsidP="001A642C">
    <w:pPr>
      <w:pStyle w:val="Footer"/>
      <w:tabs>
        <w:tab w:val="center" w:pos="4230"/>
      </w:tabs>
      <w:spacing w:before="200" w:after="200" w:line="240" w:lineRule="auto"/>
      <w:ind w:left="-720" w:right="-720"/>
      <w:jc w:val="center"/>
      <w:rPr>
        <w:i/>
        <w:sz w:val="18"/>
        <w:szCs w:val="18"/>
      </w:rPr>
    </w:pPr>
    <w:r w:rsidRPr="00F710D5">
      <w:rPr>
        <w:i/>
        <w:sz w:val="18"/>
        <w:szCs w:val="18"/>
      </w:rPr>
      <w:t xml:space="preserve">Copyright © Monument Publishing. This release was published as part of Season 19 (2018-2019) school year for speech and debate material. </w:t>
    </w:r>
  </w:p>
  <w:p w14:paraId="438C2703" w14:textId="4D0C3320" w:rsidR="006A159A" w:rsidRPr="001A642C" w:rsidRDefault="001A642C" w:rsidP="001A642C">
    <w:pPr>
      <w:pStyle w:val="Footer"/>
      <w:tabs>
        <w:tab w:val="center" w:pos="4230"/>
      </w:tabs>
      <w:spacing w:after="0" w:line="240" w:lineRule="auto"/>
      <w:ind w:left="-720" w:right="-720"/>
      <w:jc w:val="center"/>
      <w:rPr>
        <w:b/>
        <w:i/>
      </w:rPr>
    </w:pPr>
    <w:r w:rsidRPr="001A642C">
      <w:rPr>
        <w:b/>
        <w:i/>
      </w:rPr>
      <w:t xml:space="preserve">Page </w:t>
    </w:r>
    <w:r w:rsidRPr="001A642C">
      <w:rPr>
        <w:b/>
        <w:i/>
      </w:rPr>
      <w:fldChar w:fldCharType="begin"/>
    </w:r>
    <w:r w:rsidRPr="001A642C">
      <w:rPr>
        <w:b/>
        <w:i/>
      </w:rPr>
      <w:instrText xml:space="preserve"> PAGE </w:instrText>
    </w:r>
    <w:r w:rsidRPr="001A642C">
      <w:rPr>
        <w:b/>
        <w:i/>
      </w:rPr>
      <w:fldChar w:fldCharType="separate"/>
    </w:r>
    <w:r w:rsidR="00F40F63">
      <w:rPr>
        <w:b/>
        <w:i/>
        <w:noProof/>
      </w:rPr>
      <w:t>1</w:t>
    </w:r>
    <w:r w:rsidRPr="001A642C">
      <w:rPr>
        <w:b/>
        <w:i/>
      </w:rPr>
      <w:fldChar w:fldCharType="end"/>
    </w:r>
    <w:r w:rsidRPr="001A642C">
      <w:rPr>
        <w:b/>
        <w:i/>
      </w:rPr>
      <w:t xml:space="preserve"> of </w:t>
    </w:r>
    <w:r w:rsidRPr="001A642C">
      <w:rPr>
        <w:b/>
        <w:i/>
      </w:rPr>
      <w:fldChar w:fldCharType="begin"/>
    </w:r>
    <w:r w:rsidRPr="001A642C">
      <w:rPr>
        <w:b/>
        <w:i/>
      </w:rPr>
      <w:instrText xml:space="preserve"> NUMPAGES </w:instrText>
    </w:r>
    <w:r w:rsidRPr="001A642C">
      <w:rPr>
        <w:b/>
        <w:i/>
      </w:rPr>
      <w:fldChar w:fldCharType="separate"/>
    </w:r>
    <w:r w:rsidR="00F40F63">
      <w:rPr>
        <w:b/>
        <w:i/>
        <w:noProof/>
      </w:rPr>
      <w:t>8</w:t>
    </w:r>
    <w:r w:rsidRPr="001A642C">
      <w:rPr>
        <w:b/>
        <w: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61DFBC" w14:textId="77777777" w:rsidR="00DC10D6" w:rsidRDefault="00DC10D6" w:rsidP="00DB7B76">
      <w:pPr>
        <w:spacing w:after="0" w:line="240" w:lineRule="auto"/>
      </w:pPr>
      <w:r>
        <w:separator/>
      </w:r>
    </w:p>
  </w:footnote>
  <w:footnote w:type="continuationSeparator" w:id="0">
    <w:p w14:paraId="790B66EA" w14:textId="77777777" w:rsidR="00DC10D6" w:rsidRDefault="00DC10D6" w:rsidP="00DB7B76">
      <w:pPr>
        <w:spacing w:after="0" w:line="240" w:lineRule="auto"/>
      </w:pPr>
      <w:r>
        <w:continuationSeparator/>
      </w:r>
    </w:p>
  </w:footnote>
  <w:footnote w:id="1">
    <w:p w14:paraId="0D34639B" w14:textId="3C4F041E" w:rsidR="00937AE8" w:rsidRDefault="00937AE8">
      <w:pPr>
        <w:pStyle w:val="FootnoteText"/>
      </w:pPr>
      <w:r>
        <w:rPr>
          <w:rStyle w:val="FootnoteReference"/>
        </w:rPr>
        <w:footnoteRef/>
      </w:r>
      <w:r>
        <w:t xml:space="preserve"> </w:t>
      </w:r>
      <w:r w:rsidRPr="00937AE8">
        <w:t xml:space="preserve">“Summary: The Supreme Court Rules in Carpenter v. United States.” Lawfare, 27 June 2018, </w:t>
      </w:r>
      <w:hyperlink r:id="rId1" w:history="1">
        <w:r w:rsidRPr="008B047E">
          <w:rPr>
            <w:rStyle w:val="Hyperlink"/>
          </w:rPr>
          <w:t>www.lawfareblog.com/summary-supreme-court-rules-carpenter-v-united-states</w:t>
        </w:r>
      </w:hyperlink>
      <w:r w:rsidRPr="00937AE8">
        <w:t>.</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0963FB" w14:textId="0171FE92" w:rsidR="006A159A" w:rsidRPr="00B94FF9" w:rsidRDefault="00B94FF9" w:rsidP="00B94FF9">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 xml:space="preserve">Resolved: </w:t>
    </w:r>
    <w:r w:rsidR="000E2CED">
      <w:rPr>
        <w:i/>
        <w:sz w:val="20"/>
        <w:szCs w:val="20"/>
      </w:rPr>
      <w:t>In criminal procedure, truth-seeking ought to be valued over individual privacy</w:t>
    </w:r>
    <w:r>
      <w:rPr>
        <w:i/>
        <w:sz w:val="20"/>
        <w:szCs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2388A3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A02EB0BC"/>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CAF6D3A0"/>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288CD2E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C6894A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1278FCE2"/>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F66AD416"/>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D4DA4998"/>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D688C9C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0D28BA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2018B71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CE0B2E"/>
    <w:multiLevelType w:val="multilevel"/>
    <w:tmpl w:val="3BF80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B671281"/>
    <w:multiLevelType w:val="multilevel"/>
    <w:tmpl w:val="0DFCF964"/>
    <w:lvl w:ilvl="0">
      <w:start w:val="1"/>
      <w:numFmt w:val="decimal"/>
      <w:lvlText w:val="%1."/>
      <w:lvlJc w:val="left"/>
      <w:pPr>
        <w:ind w:left="1080" w:firstLine="720"/>
      </w:pPr>
      <w:rPr>
        <w:b/>
      </w:r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13" w15:restartNumberingAfterBreak="0">
    <w:nsid w:val="11C609F1"/>
    <w:multiLevelType w:val="hybridMultilevel"/>
    <w:tmpl w:val="7B2E0AA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5522CC0"/>
    <w:multiLevelType w:val="hybridMultilevel"/>
    <w:tmpl w:val="CA14FDD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770FF4"/>
    <w:multiLevelType w:val="multilevel"/>
    <w:tmpl w:val="53CE8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49D5AFB"/>
    <w:multiLevelType w:val="multilevel"/>
    <w:tmpl w:val="1AF2F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C1E3A37"/>
    <w:multiLevelType w:val="multilevel"/>
    <w:tmpl w:val="FE3AA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5262316"/>
    <w:multiLevelType w:val="hybridMultilevel"/>
    <w:tmpl w:val="EF0AD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5C466E1"/>
    <w:multiLevelType w:val="multilevel"/>
    <w:tmpl w:val="02FE1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B4A4C88"/>
    <w:multiLevelType w:val="hybridMultilevel"/>
    <w:tmpl w:val="7506E02A"/>
    <w:lvl w:ilvl="0" w:tplc="0409000F">
      <w:start w:val="1"/>
      <w:numFmt w:val="decimal"/>
      <w:lvlText w:val="%1."/>
      <w:lvlJc w:val="left"/>
      <w:pPr>
        <w:ind w:left="960" w:hanging="360"/>
      </w:pPr>
      <w:rPr>
        <w:rFonts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23" w15:restartNumberingAfterBreak="0">
    <w:nsid w:val="40D26A82"/>
    <w:multiLevelType w:val="multilevel"/>
    <w:tmpl w:val="86A02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74A2EF0"/>
    <w:multiLevelType w:val="hybridMultilevel"/>
    <w:tmpl w:val="D01ECC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A7247F0"/>
    <w:multiLevelType w:val="hybridMultilevel"/>
    <w:tmpl w:val="C676423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46735C8"/>
    <w:multiLevelType w:val="multilevel"/>
    <w:tmpl w:val="08621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64610F3"/>
    <w:multiLevelType w:val="hybridMultilevel"/>
    <w:tmpl w:val="C512DE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EFB10B2"/>
    <w:multiLevelType w:val="hybridMultilevel"/>
    <w:tmpl w:val="1EAC2D0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44C7905"/>
    <w:multiLevelType w:val="hybridMultilevel"/>
    <w:tmpl w:val="899A733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49A3EEA"/>
    <w:multiLevelType w:val="multilevel"/>
    <w:tmpl w:val="A8043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B3927BC"/>
    <w:multiLevelType w:val="multilevel"/>
    <w:tmpl w:val="11B83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DC57793"/>
    <w:multiLevelType w:val="hybridMultilevel"/>
    <w:tmpl w:val="21D087D2"/>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33" w15:restartNumberingAfterBreak="0">
    <w:nsid w:val="72404D25"/>
    <w:multiLevelType w:val="multilevel"/>
    <w:tmpl w:val="6F64D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21"/>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3"/>
  </w:num>
  <w:num w:numId="15">
    <w:abstractNumId w:val="29"/>
  </w:num>
  <w:num w:numId="16">
    <w:abstractNumId w:val="19"/>
  </w:num>
  <w:num w:numId="17">
    <w:abstractNumId w:val="25"/>
  </w:num>
  <w:num w:numId="18">
    <w:abstractNumId w:val="15"/>
  </w:num>
  <w:num w:numId="19">
    <w:abstractNumId w:val="28"/>
  </w:num>
  <w:num w:numId="20">
    <w:abstractNumId w:val="24"/>
  </w:num>
  <w:num w:numId="21">
    <w:abstractNumId w:val="18"/>
  </w:num>
  <w:num w:numId="22">
    <w:abstractNumId w:val="30"/>
  </w:num>
  <w:num w:numId="23">
    <w:abstractNumId w:val="31"/>
  </w:num>
  <w:num w:numId="24">
    <w:abstractNumId w:val="17"/>
  </w:num>
  <w:num w:numId="25">
    <w:abstractNumId w:val="23"/>
  </w:num>
  <w:num w:numId="26">
    <w:abstractNumId w:val="20"/>
  </w:num>
  <w:num w:numId="27">
    <w:abstractNumId w:val="26"/>
  </w:num>
  <w:num w:numId="28">
    <w:abstractNumId w:val="33"/>
  </w:num>
  <w:num w:numId="29">
    <w:abstractNumId w:val="16"/>
  </w:num>
  <w:num w:numId="30">
    <w:abstractNumId w:val="27"/>
  </w:num>
  <w:num w:numId="31">
    <w:abstractNumId w:val="11"/>
  </w:num>
  <w:num w:numId="32">
    <w:abstractNumId w:val="12"/>
  </w:num>
  <w:num w:numId="33">
    <w:abstractNumId w:val="32"/>
  </w:num>
  <w:num w:numId="3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je2NLYwMTWxsDAxNjFT0lEKTi0uzszPAykwqgUAN76ADiwAAAA="/>
  </w:docVars>
  <w:rsids>
    <w:rsidRoot w:val="00DB7B76"/>
    <w:rsid w:val="0000080D"/>
    <w:rsid w:val="00002770"/>
    <w:rsid w:val="000057E3"/>
    <w:rsid w:val="00016BFE"/>
    <w:rsid w:val="000244A2"/>
    <w:rsid w:val="00024600"/>
    <w:rsid w:val="000364B0"/>
    <w:rsid w:val="00036A22"/>
    <w:rsid w:val="00036F71"/>
    <w:rsid w:val="00044AB1"/>
    <w:rsid w:val="00064244"/>
    <w:rsid w:val="00087308"/>
    <w:rsid w:val="000A7EC2"/>
    <w:rsid w:val="000B4939"/>
    <w:rsid w:val="000C4B55"/>
    <w:rsid w:val="000D0262"/>
    <w:rsid w:val="000E2CED"/>
    <w:rsid w:val="000E5B1C"/>
    <w:rsid w:val="000E74AD"/>
    <w:rsid w:val="001160B3"/>
    <w:rsid w:val="00130213"/>
    <w:rsid w:val="00143020"/>
    <w:rsid w:val="00155780"/>
    <w:rsid w:val="00155F63"/>
    <w:rsid w:val="00163986"/>
    <w:rsid w:val="00167A41"/>
    <w:rsid w:val="001709AD"/>
    <w:rsid w:val="00176AD8"/>
    <w:rsid w:val="001778F2"/>
    <w:rsid w:val="00177F0D"/>
    <w:rsid w:val="001A49C6"/>
    <w:rsid w:val="001A642C"/>
    <w:rsid w:val="001E2C45"/>
    <w:rsid w:val="001F62BD"/>
    <w:rsid w:val="001F759F"/>
    <w:rsid w:val="00201483"/>
    <w:rsid w:val="00202A02"/>
    <w:rsid w:val="002104C8"/>
    <w:rsid w:val="00214200"/>
    <w:rsid w:val="0021614B"/>
    <w:rsid w:val="002207D8"/>
    <w:rsid w:val="00225B1E"/>
    <w:rsid w:val="00230E29"/>
    <w:rsid w:val="00232F41"/>
    <w:rsid w:val="0023406C"/>
    <w:rsid w:val="0023484B"/>
    <w:rsid w:val="0024499A"/>
    <w:rsid w:val="00251325"/>
    <w:rsid w:val="00252048"/>
    <w:rsid w:val="00256EE1"/>
    <w:rsid w:val="00273C9C"/>
    <w:rsid w:val="0027463F"/>
    <w:rsid w:val="002746D7"/>
    <w:rsid w:val="00274B65"/>
    <w:rsid w:val="00285253"/>
    <w:rsid w:val="00287986"/>
    <w:rsid w:val="00293237"/>
    <w:rsid w:val="002958A7"/>
    <w:rsid w:val="002A6A21"/>
    <w:rsid w:val="002B415B"/>
    <w:rsid w:val="002D2096"/>
    <w:rsid w:val="002E0D16"/>
    <w:rsid w:val="002F1E1E"/>
    <w:rsid w:val="002F418D"/>
    <w:rsid w:val="00302272"/>
    <w:rsid w:val="0030317D"/>
    <w:rsid w:val="00313DFA"/>
    <w:rsid w:val="00316E51"/>
    <w:rsid w:val="00320337"/>
    <w:rsid w:val="003245CF"/>
    <w:rsid w:val="00340DAF"/>
    <w:rsid w:val="003508FD"/>
    <w:rsid w:val="00352522"/>
    <w:rsid w:val="00354949"/>
    <w:rsid w:val="003549F5"/>
    <w:rsid w:val="00370B2F"/>
    <w:rsid w:val="00381981"/>
    <w:rsid w:val="003875C7"/>
    <w:rsid w:val="00391968"/>
    <w:rsid w:val="00394059"/>
    <w:rsid w:val="003B0CA4"/>
    <w:rsid w:val="003D4A5D"/>
    <w:rsid w:val="003E3F32"/>
    <w:rsid w:val="003F0F87"/>
    <w:rsid w:val="003F6508"/>
    <w:rsid w:val="003F6B58"/>
    <w:rsid w:val="00403F0D"/>
    <w:rsid w:val="00411CE6"/>
    <w:rsid w:val="0042767D"/>
    <w:rsid w:val="0044104D"/>
    <w:rsid w:val="00441E2B"/>
    <w:rsid w:val="00446BF2"/>
    <w:rsid w:val="004503C6"/>
    <w:rsid w:val="00465C5B"/>
    <w:rsid w:val="00482927"/>
    <w:rsid w:val="004A484F"/>
    <w:rsid w:val="004A6116"/>
    <w:rsid w:val="004D46C6"/>
    <w:rsid w:val="004E1EED"/>
    <w:rsid w:val="004E4B6C"/>
    <w:rsid w:val="004F4E71"/>
    <w:rsid w:val="004F6408"/>
    <w:rsid w:val="00503BB5"/>
    <w:rsid w:val="0050765D"/>
    <w:rsid w:val="00514B92"/>
    <w:rsid w:val="00524635"/>
    <w:rsid w:val="00531224"/>
    <w:rsid w:val="005332D4"/>
    <w:rsid w:val="005341B9"/>
    <w:rsid w:val="005370AA"/>
    <w:rsid w:val="005375A1"/>
    <w:rsid w:val="00564A20"/>
    <w:rsid w:val="0056534C"/>
    <w:rsid w:val="00565637"/>
    <w:rsid w:val="00576029"/>
    <w:rsid w:val="00577C85"/>
    <w:rsid w:val="00583565"/>
    <w:rsid w:val="005854E1"/>
    <w:rsid w:val="00594644"/>
    <w:rsid w:val="005A05B9"/>
    <w:rsid w:val="005B7A29"/>
    <w:rsid w:val="005D2B9D"/>
    <w:rsid w:val="005D65F8"/>
    <w:rsid w:val="005E0473"/>
    <w:rsid w:val="005E1ABE"/>
    <w:rsid w:val="005E68AA"/>
    <w:rsid w:val="005E6A55"/>
    <w:rsid w:val="00600ED2"/>
    <w:rsid w:val="00600F9C"/>
    <w:rsid w:val="00614375"/>
    <w:rsid w:val="00615C80"/>
    <w:rsid w:val="00617B20"/>
    <w:rsid w:val="00637064"/>
    <w:rsid w:val="006413FD"/>
    <w:rsid w:val="006477D0"/>
    <w:rsid w:val="00650031"/>
    <w:rsid w:val="00652829"/>
    <w:rsid w:val="00653273"/>
    <w:rsid w:val="0065334A"/>
    <w:rsid w:val="00655E4F"/>
    <w:rsid w:val="00656ABB"/>
    <w:rsid w:val="00661A85"/>
    <w:rsid w:val="006770C9"/>
    <w:rsid w:val="0067766A"/>
    <w:rsid w:val="00677CB9"/>
    <w:rsid w:val="00677F03"/>
    <w:rsid w:val="00690FE3"/>
    <w:rsid w:val="00693994"/>
    <w:rsid w:val="006961C8"/>
    <w:rsid w:val="0069775D"/>
    <w:rsid w:val="006A159A"/>
    <w:rsid w:val="006A5D68"/>
    <w:rsid w:val="006B0EF8"/>
    <w:rsid w:val="006B4214"/>
    <w:rsid w:val="006D163C"/>
    <w:rsid w:val="006D548E"/>
    <w:rsid w:val="006D65C2"/>
    <w:rsid w:val="006E18C5"/>
    <w:rsid w:val="006E702D"/>
    <w:rsid w:val="0070498D"/>
    <w:rsid w:val="007127C4"/>
    <w:rsid w:val="007148BB"/>
    <w:rsid w:val="00716957"/>
    <w:rsid w:val="0072345D"/>
    <w:rsid w:val="00723895"/>
    <w:rsid w:val="00724784"/>
    <w:rsid w:val="007263DF"/>
    <w:rsid w:val="00727B89"/>
    <w:rsid w:val="00741DB7"/>
    <w:rsid w:val="00742471"/>
    <w:rsid w:val="007648E4"/>
    <w:rsid w:val="007671CE"/>
    <w:rsid w:val="00767B97"/>
    <w:rsid w:val="00776EFE"/>
    <w:rsid w:val="00781C03"/>
    <w:rsid w:val="00790AB3"/>
    <w:rsid w:val="00791A3F"/>
    <w:rsid w:val="00797218"/>
    <w:rsid w:val="007A1AF5"/>
    <w:rsid w:val="007A74DB"/>
    <w:rsid w:val="007B018D"/>
    <w:rsid w:val="007C5ED6"/>
    <w:rsid w:val="007D11F4"/>
    <w:rsid w:val="007D4E68"/>
    <w:rsid w:val="007D7073"/>
    <w:rsid w:val="007F2F39"/>
    <w:rsid w:val="00817594"/>
    <w:rsid w:val="00820FEB"/>
    <w:rsid w:val="00826C88"/>
    <w:rsid w:val="00830FD7"/>
    <w:rsid w:val="00835E4B"/>
    <w:rsid w:val="00836F56"/>
    <w:rsid w:val="00841B08"/>
    <w:rsid w:val="0084217A"/>
    <w:rsid w:val="0084445E"/>
    <w:rsid w:val="008554E8"/>
    <w:rsid w:val="00866B14"/>
    <w:rsid w:val="008672A3"/>
    <w:rsid w:val="00875961"/>
    <w:rsid w:val="0089461A"/>
    <w:rsid w:val="008A0054"/>
    <w:rsid w:val="008A02F5"/>
    <w:rsid w:val="008A4F72"/>
    <w:rsid w:val="008A57FF"/>
    <w:rsid w:val="008B581F"/>
    <w:rsid w:val="008B5CF0"/>
    <w:rsid w:val="008B6CC4"/>
    <w:rsid w:val="008C547A"/>
    <w:rsid w:val="008E27AA"/>
    <w:rsid w:val="008F32F2"/>
    <w:rsid w:val="009132B5"/>
    <w:rsid w:val="009203D1"/>
    <w:rsid w:val="00920CCC"/>
    <w:rsid w:val="00921B79"/>
    <w:rsid w:val="0093085E"/>
    <w:rsid w:val="009316B9"/>
    <w:rsid w:val="009377F7"/>
    <w:rsid w:val="00937AE8"/>
    <w:rsid w:val="00940389"/>
    <w:rsid w:val="009465F4"/>
    <w:rsid w:val="00946CD4"/>
    <w:rsid w:val="009560BA"/>
    <w:rsid w:val="00970388"/>
    <w:rsid w:val="009729A6"/>
    <w:rsid w:val="00973129"/>
    <w:rsid w:val="00974F1E"/>
    <w:rsid w:val="00985B69"/>
    <w:rsid w:val="009A50E9"/>
    <w:rsid w:val="009A7207"/>
    <w:rsid w:val="009B6246"/>
    <w:rsid w:val="009C0BAC"/>
    <w:rsid w:val="009D172C"/>
    <w:rsid w:val="009D59E3"/>
    <w:rsid w:val="009E207F"/>
    <w:rsid w:val="009E515A"/>
    <w:rsid w:val="009E65C0"/>
    <w:rsid w:val="009F0369"/>
    <w:rsid w:val="009F1E51"/>
    <w:rsid w:val="009F27CB"/>
    <w:rsid w:val="009F54CA"/>
    <w:rsid w:val="00A044EE"/>
    <w:rsid w:val="00A1191D"/>
    <w:rsid w:val="00A33BD4"/>
    <w:rsid w:val="00A34363"/>
    <w:rsid w:val="00A40A0B"/>
    <w:rsid w:val="00A73206"/>
    <w:rsid w:val="00A84C0B"/>
    <w:rsid w:val="00AB2358"/>
    <w:rsid w:val="00AB6A47"/>
    <w:rsid w:val="00AC273A"/>
    <w:rsid w:val="00AC2A69"/>
    <w:rsid w:val="00AC4A30"/>
    <w:rsid w:val="00AF026D"/>
    <w:rsid w:val="00AF59D0"/>
    <w:rsid w:val="00B0021A"/>
    <w:rsid w:val="00B036C5"/>
    <w:rsid w:val="00B06952"/>
    <w:rsid w:val="00B0710C"/>
    <w:rsid w:val="00B10B6E"/>
    <w:rsid w:val="00B17F5D"/>
    <w:rsid w:val="00B246C9"/>
    <w:rsid w:val="00B40C30"/>
    <w:rsid w:val="00B47443"/>
    <w:rsid w:val="00B612F8"/>
    <w:rsid w:val="00B66968"/>
    <w:rsid w:val="00B714F2"/>
    <w:rsid w:val="00B716E8"/>
    <w:rsid w:val="00B77E62"/>
    <w:rsid w:val="00B80195"/>
    <w:rsid w:val="00B801CE"/>
    <w:rsid w:val="00B8123F"/>
    <w:rsid w:val="00B84F2F"/>
    <w:rsid w:val="00B93680"/>
    <w:rsid w:val="00B94320"/>
    <w:rsid w:val="00B94EAF"/>
    <w:rsid w:val="00B94FF9"/>
    <w:rsid w:val="00BA4CE8"/>
    <w:rsid w:val="00BA50D9"/>
    <w:rsid w:val="00BB234C"/>
    <w:rsid w:val="00BC5003"/>
    <w:rsid w:val="00BC747B"/>
    <w:rsid w:val="00BD0456"/>
    <w:rsid w:val="00BE18B1"/>
    <w:rsid w:val="00BF13B0"/>
    <w:rsid w:val="00BF2262"/>
    <w:rsid w:val="00BF27D0"/>
    <w:rsid w:val="00BF63C5"/>
    <w:rsid w:val="00C047BE"/>
    <w:rsid w:val="00C30327"/>
    <w:rsid w:val="00C34B5F"/>
    <w:rsid w:val="00C352C4"/>
    <w:rsid w:val="00C3664B"/>
    <w:rsid w:val="00C412BA"/>
    <w:rsid w:val="00C501BE"/>
    <w:rsid w:val="00C51D8E"/>
    <w:rsid w:val="00C54BE8"/>
    <w:rsid w:val="00C63A37"/>
    <w:rsid w:val="00C77B18"/>
    <w:rsid w:val="00C8246D"/>
    <w:rsid w:val="00C828F1"/>
    <w:rsid w:val="00C82E52"/>
    <w:rsid w:val="00C85D49"/>
    <w:rsid w:val="00C910B5"/>
    <w:rsid w:val="00C93DFB"/>
    <w:rsid w:val="00CA0294"/>
    <w:rsid w:val="00CA0BE8"/>
    <w:rsid w:val="00CB30D8"/>
    <w:rsid w:val="00CB72D7"/>
    <w:rsid w:val="00CB7EAA"/>
    <w:rsid w:val="00CF05A3"/>
    <w:rsid w:val="00CF6BC7"/>
    <w:rsid w:val="00CF7E33"/>
    <w:rsid w:val="00D1626F"/>
    <w:rsid w:val="00D22B65"/>
    <w:rsid w:val="00D27095"/>
    <w:rsid w:val="00D3179D"/>
    <w:rsid w:val="00D3201C"/>
    <w:rsid w:val="00D36942"/>
    <w:rsid w:val="00D372E4"/>
    <w:rsid w:val="00D70C39"/>
    <w:rsid w:val="00D75A27"/>
    <w:rsid w:val="00D80AEB"/>
    <w:rsid w:val="00D835F3"/>
    <w:rsid w:val="00D84EEC"/>
    <w:rsid w:val="00D87EFD"/>
    <w:rsid w:val="00D957E0"/>
    <w:rsid w:val="00DA2877"/>
    <w:rsid w:val="00DA3D0B"/>
    <w:rsid w:val="00DA4877"/>
    <w:rsid w:val="00DB27FE"/>
    <w:rsid w:val="00DB367B"/>
    <w:rsid w:val="00DB7B76"/>
    <w:rsid w:val="00DC10D6"/>
    <w:rsid w:val="00DC12FF"/>
    <w:rsid w:val="00DC2D52"/>
    <w:rsid w:val="00DC3062"/>
    <w:rsid w:val="00DE0F0A"/>
    <w:rsid w:val="00DE5C46"/>
    <w:rsid w:val="00DF1B05"/>
    <w:rsid w:val="00DF6781"/>
    <w:rsid w:val="00E00CB0"/>
    <w:rsid w:val="00E143CC"/>
    <w:rsid w:val="00E159E5"/>
    <w:rsid w:val="00E1722F"/>
    <w:rsid w:val="00E27DAA"/>
    <w:rsid w:val="00E421A5"/>
    <w:rsid w:val="00E500F6"/>
    <w:rsid w:val="00E52C55"/>
    <w:rsid w:val="00E53265"/>
    <w:rsid w:val="00E6391C"/>
    <w:rsid w:val="00E7323C"/>
    <w:rsid w:val="00E74769"/>
    <w:rsid w:val="00E75EE3"/>
    <w:rsid w:val="00E7778E"/>
    <w:rsid w:val="00E87ADC"/>
    <w:rsid w:val="00ED099F"/>
    <w:rsid w:val="00ED308B"/>
    <w:rsid w:val="00ED4C2F"/>
    <w:rsid w:val="00EE58FB"/>
    <w:rsid w:val="00EF7C7B"/>
    <w:rsid w:val="00F01D26"/>
    <w:rsid w:val="00F1002C"/>
    <w:rsid w:val="00F101CB"/>
    <w:rsid w:val="00F1550A"/>
    <w:rsid w:val="00F232A0"/>
    <w:rsid w:val="00F2783E"/>
    <w:rsid w:val="00F35532"/>
    <w:rsid w:val="00F40F63"/>
    <w:rsid w:val="00F53458"/>
    <w:rsid w:val="00F56280"/>
    <w:rsid w:val="00F57060"/>
    <w:rsid w:val="00F62A0C"/>
    <w:rsid w:val="00F67237"/>
    <w:rsid w:val="00F6787C"/>
    <w:rsid w:val="00F802AE"/>
    <w:rsid w:val="00F81B2D"/>
    <w:rsid w:val="00F914F9"/>
    <w:rsid w:val="00F97F4D"/>
    <w:rsid w:val="00FA5F1C"/>
    <w:rsid w:val="00FB663F"/>
    <w:rsid w:val="00FC267A"/>
    <w:rsid w:val="00FC5CC8"/>
    <w:rsid w:val="00FC6B82"/>
    <w:rsid w:val="00FC76B1"/>
    <w:rsid w:val="00FE6386"/>
    <w:rsid w:val="00FF487A"/>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C855B842-6A4A-4C3A-9CB3-A0813C21D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62BD"/>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paragraph" w:styleId="Heading3">
    <w:name w:val="heading 3"/>
    <w:basedOn w:val="Normal"/>
    <w:next w:val="Normal"/>
    <w:link w:val="Heading3Char"/>
    <w:uiPriority w:val="9"/>
    <w:unhideWhenUsed/>
    <w:qFormat/>
    <w:rsid w:val="00791A3F"/>
    <w:pPr>
      <w:keepNext/>
      <w:keepLines/>
      <w:spacing w:before="40" w:after="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semiHidden/>
    <w:unhideWhenUsed/>
    <w:qFormat/>
    <w:rsid w:val="00791A3F"/>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DB7B76"/>
    <w:rPr>
      <w:rFonts w:ascii="Helvetica" w:eastAsia="Helvetica" w:hAnsi="Helvetica" w:cs="Helvetica"/>
      <w:color w:val="000000"/>
      <w:sz w:val="2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unhideWhenUsed/>
    <w:rsid w:val="00F232A0"/>
    <w:pPr>
      <w:spacing w:before="100" w:beforeAutospacing="1" w:after="100" w:afterAutospacing="1" w:line="240" w:lineRule="auto"/>
    </w:pPr>
  </w:style>
  <w:style w:type="paragraph" w:customStyle="1" w:styleId="BodyText1">
    <w:name w:val="Body Text1"/>
    <w:rsid w:val="00302272"/>
    <w:pPr>
      <w:pBdr>
        <w:top w:val="nil"/>
        <w:left w:val="nil"/>
        <w:bottom w:val="nil"/>
        <w:right w:val="nil"/>
        <w:between w:val="nil"/>
        <w:bar w:val="nil"/>
      </w:pBdr>
      <w:spacing w:after="240" w:line="312" w:lineRule="auto"/>
    </w:pPr>
    <w:rPr>
      <w:rFonts w:ascii="Times New Roman" w:eastAsia="Times New Roman" w:hAnsi="Times New Roman" w:cs="Times New Roman"/>
      <w:color w:val="000000"/>
      <w:bdr w:val="nil"/>
    </w:rPr>
  </w:style>
  <w:style w:type="character" w:customStyle="1" w:styleId="Heading3Char">
    <w:name w:val="Heading 3 Char"/>
    <w:basedOn w:val="DefaultParagraphFont"/>
    <w:link w:val="Heading3"/>
    <w:uiPriority w:val="9"/>
    <w:rsid w:val="00791A3F"/>
    <w:rPr>
      <w:rFonts w:asciiTheme="majorHAnsi" w:eastAsiaTheme="majorEastAsia" w:hAnsiTheme="majorHAnsi" w:cstheme="majorBidi"/>
      <w:color w:val="1F4D78" w:themeColor="accent1" w:themeShade="7F"/>
    </w:rPr>
  </w:style>
  <w:style w:type="character" w:customStyle="1" w:styleId="Heading4Char">
    <w:name w:val="Heading 4 Char"/>
    <w:basedOn w:val="DefaultParagraphFont"/>
    <w:link w:val="Heading4"/>
    <w:uiPriority w:val="9"/>
    <w:semiHidden/>
    <w:rsid w:val="00791A3F"/>
    <w:rPr>
      <w:rFonts w:asciiTheme="majorHAnsi" w:eastAsiaTheme="majorEastAsia" w:hAnsiTheme="majorHAnsi" w:cstheme="majorBidi"/>
      <w:i/>
      <w:iCs/>
      <w:color w:val="2E74B5" w:themeColor="accent1" w:themeShade="BF"/>
    </w:rPr>
  </w:style>
  <w:style w:type="paragraph" w:customStyle="1" w:styleId="Body">
    <w:name w:val="Body"/>
    <w:rsid w:val="00791A3F"/>
    <w:pPr>
      <w:pBdr>
        <w:top w:val="nil"/>
        <w:left w:val="nil"/>
        <w:bottom w:val="nil"/>
        <w:right w:val="nil"/>
        <w:between w:val="nil"/>
        <w:bar w:val="nil"/>
      </w:pBdr>
      <w:spacing w:after="240" w:line="288" w:lineRule="auto"/>
    </w:pPr>
    <w:rPr>
      <w:rFonts w:ascii="Times New Roman" w:eastAsia="Times New Roman" w:hAnsi="Times New Roman" w:cs="Times New Roman"/>
      <w:color w:val="000000"/>
      <w:u w:color="000000"/>
      <w:bdr w:val="nil"/>
    </w:rPr>
  </w:style>
  <w:style w:type="paragraph" w:customStyle="1" w:styleId="story-body-text">
    <w:name w:val="story-body-text"/>
    <w:basedOn w:val="Normal"/>
    <w:rsid w:val="00791A3F"/>
    <w:pPr>
      <w:spacing w:before="100" w:beforeAutospacing="1" w:after="100" w:afterAutospacing="1" w:line="240" w:lineRule="auto"/>
    </w:pPr>
    <w:rPr>
      <w:rFonts w:eastAsia="Times New Roman"/>
    </w:rPr>
  </w:style>
  <w:style w:type="character" w:customStyle="1" w:styleId="apple-converted-space">
    <w:name w:val="apple-converted-space"/>
    <w:basedOn w:val="DefaultParagraphFont"/>
    <w:rsid w:val="00791A3F"/>
  </w:style>
  <w:style w:type="paragraph" w:styleId="TOC1">
    <w:name w:val="toc 1"/>
    <w:basedOn w:val="Normal"/>
    <w:next w:val="Normal"/>
    <w:autoRedefine/>
    <w:uiPriority w:val="39"/>
    <w:unhideWhenUsed/>
    <w:rsid w:val="00A33BD4"/>
  </w:style>
  <w:style w:type="paragraph" w:styleId="TOC2">
    <w:name w:val="toc 2"/>
    <w:basedOn w:val="Normal"/>
    <w:next w:val="Normal"/>
    <w:autoRedefine/>
    <w:uiPriority w:val="39"/>
    <w:unhideWhenUsed/>
    <w:rsid w:val="00A33BD4"/>
    <w:pPr>
      <w:ind w:left="240"/>
    </w:pPr>
  </w:style>
  <w:style w:type="paragraph" w:styleId="TOC3">
    <w:name w:val="toc 3"/>
    <w:basedOn w:val="Normal"/>
    <w:next w:val="Normal"/>
    <w:autoRedefine/>
    <w:uiPriority w:val="39"/>
    <w:unhideWhenUsed/>
    <w:rsid w:val="00A33BD4"/>
    <w:pPr>
      <w:ind w:left="480"/>
    </w:pPr>
  </w:style>
  <w:style w:type="paragraph" w:styleId="TOC4">
    <w:name w:val="toc 4"/>
    <w:basedOn w:val="Normal"/>
    <w:next w:val="Normal"/>
    <w:autoRedefine/>
    <w:uiPriority w:val="39"/>
    <w:unhideWhenUsed/>
    <w:rsid w:val="00A33BD4"/>
    <w:pPr>
      <w:ind w:left="720"/>
    </w:pPr>
  </w:style>
  <w:style w:type="paragraph" w:styleId="TOC5">
    <w:name w:val="toc 5"/>
    <w:basedOn w:val="Normal"/>
    <w:next w:val="Normal"/>
    <w:autoRedefine/>
    <w:uiPriority w:val="39"/>
    <w:unhideWhenUsed/>
    <w:rsid w:val="00A33BD4"/>
    <w:pPr>
      <w:ind w:left="960"/>
    </w:pPr>
  </w:style>
  <w:style w:type="paragraph" w:styleId="TOC6">
    <w:name w:val="toc 6"/>
    <w:basedOn w:val="Normal"/>
    <w:next w:val="Normal"/>
    <w:autoRedefine/>
    <w:uiPriority w:val="39"/>
    <w:unhideWhenUsed/>
    <w:rsid w:val="00A33BD4"/>
    <w:pPr>
      <w:ind w:left="1200"/>
    </w:pPr>
  </w:style>
  <w:style w:type="paragraph" w:styleId="TOC7">
    <w:name w:val="toc 7"/>
    <w:basedOn w:val="Normal"/>
    <w:next w:val="Normal"/>
    <w:autoRedefine/>
    <w:uiPriority w:val="39"/>
    <w:unhideWhenUsed/>
    <w:rsid w:val="00A33BD4"/>
    <w:pPr>
      <w:ind w:left="1440"/>
    </w:pPr>
  </w:style>
  <w:style w:type="paragraph" w:styleId="TOC8">
    <w:name w:val="toc 8"/>
    <w:basedOn w:val="Normal"/>
    <w:next w:val="Normal"/>
    <w:autoRedefine/>
    <w:uiPriority w:val="39"/>
    <w:unhideWhenUsed/>
    <w:rsid w:val="00A33BD4"/>
    <w:pPr>
      <w:ind w:left="1680"/>
    </w:pPr>
  </w:style>
  <w:style w:type="paragraph" w:styleId="TOC9">
    <w:name w:val="toc 9"/>
    <w:basedOn w:val="Normal"/>
    <w:next w:val="Normal"/>
    <w:autoRedefine/>
    <w:uiPriority w:val="39"/>
    <w:unhideWhenUsed/>
    <w:rsid w:val="00A33BD4"/>
    <w:pPr>
      <w:ind w:left="1920"/>
    </w:pPr>
  </w:style>
  <w:style w:type="paragraph" w:customStyle="1" w:styleId="RedEvidenceTag">
    <w:name w:val="Red Evidence Tag"/>
    <w:basedOn w:val="Heading2"/>
    <w:qFormat/>
    <w:rsid w:val="003E3F32"/>
    <w:rPr>
      <w:rFonts w:ascii="Times New Roman" w:hAnsi="Times New Roman" w:cs="Times New Roman"/>
      <w:sz w:val="20"/>
      <w:szCs w:val="20"/>
    </w:rPr>
  </w:style>
  <w:style w:type="paragraph" w:customStyle="1" w:styleId="RedEvidenceCitation">
    <w:name w:val="Red Evidence Citation"/>
    <w:basedOn w:val="Normal"/>
    <w:qFormat/>
    <w:rsid w:val="003E3F32"/>
    <w:pPr>
      <w:keepNext/>
      <w:keepLines/>
      <w:spacing w:before="120" w:after="120"/>
      <w:ind w:left="360"/>
    </w:pPr>
    <w:rPr>
      <w:i/>
      <w:sz w:val="20"/>
      <w:szCs w:val="20"/>
    </w:rPr>
  </w:style>
  <w:style w:type="paragraph" w:customStyle="1" w:styleId="RedEvidence">
    <w:name w:val="Red Evidence"/>
    <w:basedOn w:val="Normal"/>
    <w:qFormat/>
    <w:rsid w:val="003E3F32"/>
    <w:pPr>
      <w:keepLines/>
      <w:ind w:left="360"/>
    </w:pPr>
    <w:rPr>
      <w:sz w:val="20"/>
      <w:szCs w:val="20"/>
    </w:rPr>
  </w:style>
  <w:style w:type="paragraph" w:styleId="NoSpacing">
    <w:name w:val="No Spacing"/>
    <w:uiPriority w:val="1"/>
    <w:qFormat/>
    <w:rsid w:val="00DB27FE"/>
    <w:rPr>
      <w:rFonts w:ascii="Times New Roman" w:hAnsi="Times New Roman" w:cs="Times New Roman"/>
    </w:rPr>
  </w:style>
  <w:style w:type="character" w:customStyle="1" w:styleId="Mention1">
    <w:name w:val="Mention1"/>
    <w:basedOn w:val="DefaultParagraphFont"/>
    <w:uiPriority w:val="99"/>
    <w:rsid w:val="006477D0"/>
    <w:rPr>
      <w:color w:val="2B579A"/>
      <w:shd w:val="clear" w:color="auto" w:fill="E6E6E6"/>
    </w:rPr>
  </w:style>
  <w:style w:type="character" w:styleId="UnresolvedMention">
    <w:name w:val="Unresolved Mention"/>
    <w:basedOn w:val="DefaultParagraphFont"/>
    <w:uiPriority w:val="99"/>
    <w:rsid w:val="00937A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4817">
      <w:bodyDiv w:val="1"/>
      <w:marLeft w:val="0"/>
      <w:marRight w:val="0"/>
      <w:marTop w:val="0"/>
      <w:marBottom w:val="0"/>
      <w:divBdr>
        <w:top w:val="none" w:sz="0" w:space="0" w:color="auto"/>
        <w:left w:val="none" w:sz="0" w:space="0" w:color="auto"/>
        <w:bottom w:val="none" w:sz="0" w:space="0" w:color="auto"/>
        <w:right w:val="none" w:sz="0" w:space="0" w:color="auto"/>
      </w:divBdr>
    </w:div>
    <w:div w:id="84040521">
      <w:bodyDiv w:val="1"/>
      <w:marLeft w:val="0"/>
      <w:marRight w:val="0"/>
      <w:marTop w:val="0"/>
      <w:marBottom w:val="0"/>
      <w:divBdr>
        <w:top w:val="none" w:sz="0" w:space="0" w:color="auto"/>
        <w:left w:val="none" w:sz="0" w:space="0" w:color="auto"/>
        <w:bottom w:val="none" w:sz="0" w:space="0" w:color="auto"/>
        <w:right w:val="none" w:sz="0" w:space="0" w:color="auto"/>
      </w:divBdr>
      <w:divsChild>
        <w:div w:id="1767268332">
          <w:marLeft w:val="0"/>
          <w:marRight w:val="0"/>
          <w:marTop w:val="0"/>
          <w:marBottom w:val="0"/>
          <w:divBdr>
            <w:top w:val="none" w:sz="0" w:space="0" w:color="auto"/>
            <w:left w:val="none" w:sz="0" w:space="0" w:color="auto"/>
            <w:bottom w:val="none" w:sz="0" w:space="0" w:color="auto"/>
            <w:right w:val="none" w:sz="0" w:space="0" w:color="auto"/>
          </w:divBdr>
          <w:divsChild>
            <w:div w:id="1678851299">
              <w:marLeft w:val="0"/>
              <w:marRight w:val="0"/>
              <w:marTop w:val="0"/>
              <w:marBottom w:val="0"/>
              <w:divBdr>
                <w:top w:val="none" w:sz="0" w:space="0" w:color="auto"/>
                <w:left w:val="none" w:sz="0" w:space="0" w:color="auto"/>
                <w:bottom w:val="none" w:sz="0" w:space="0" w:color="auto"/>
                <w:right w:val="none" w:sz="0" w:space="0" w:color="auto"/>
              </w:divBdr>
              <w:divsChild>
                <w:div w:id="2137678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4501">
      <w:bodyDiv w:val="1"/>
      <w:marLeft w:val="0"/>
      <w:marRight w:val="0"/>
      <w:marTop w:val="0"/>
      <w:marBottom w:val="0"/>
      <w:divBdr>
        <w:top w:val="none" w:sz="0" w:space="0" w:color="auto"/>
        <w:left w:val="none" w:sz="0" w:space="0" w:color="auto"/>
        <w:bottom w:val="none" w:sz="0" w:space="0" w:color="auto"/>
        <w:right w:val="none" w:sz="0" w:space="0" w:color="auto"/>
      </w:divBdr>
    </w:div>
    <w:div w:id="176043087">
      <w:bodyDiv w:val="1"/>
      <w:marLeft w:val="0"/>
      <w:marRight w:val="0"/>
      <w:marTop w:val="0"/>
      <w:marBottom w:val="0"/>
      <w:divBdr>
        <w:top w:val="none" w:sz="0" w:space="0" w:color="auto"/>
        <w:left w:val="none" w:sz="0" w:space="0" w:color="auto"/>
        <w:bottom w:val="none" w:sz="0" w:space="0" w:color="auto"/>
        <w:right w:val="none" w:sz="0" w:space="0" w:color="auto"/>
      </w:divBdr>
      <w:divsChild>
        <w:div w:id="563957206">
          <w:marLeft w:val="0"/>
          <w:marRight w:val="0"/>
          <w:marTop w:val="0"/>
          <w:marBottom w:val="225"/>
          <w:divBdr>
            <w:top w:val="none" w:sz="0" w:space="0" w:color="auto"/>
            <w:left w:val="none" w:sz="0" w:space="0" w:color="auto"/>
            <w:bottom w:val="none" w:sz="0" w:space="0" w:color="auto"/>
            <w:right w:val="none" w:sz="0" w:space="0" w:color="auto"/>
          </w:divBdr>
        </w:div>
        <w:div w:id="999507886">
          <w:marLeft w:val="0"/>
          <w:marRight w:val="0"/>
          <w:marTop w:val="0"/>
          <w:marBottom w:val="0"/>
          <w:divBdr>
            <w:top w:val="none" w:sz="0" w:space="0" w:color="auto"/>
            <w:left w:val="none" w:sz="0" w:space="0" w:color="auto"/>
            <w:bottom w:val="none" w:sz="0" w:space="0" w:color="auto"/>
            <w:right w:val="none" w:sz="0" w:space="0" w:color="auto"/>
          </w:divBdr>
          <w:divsChild>
            <w:div w:id="1273319978">
              <w:marLeft w:val="0"/>
              <w:marRight w:val="450"/>
              <w:marTop w:val="150"/>
              <w:marBottom w:val="450"/>
              <w:divBdr>
                <w:top w:val="none" w:sz="0" w:space="0" w:color="auto"/>
                <w:left w:val="none" w:sz="0" w:space="0" w:color="auto"/>
                <w:bottom w:val="none" w:sz="0" w:space="0" w:color="auto"/>
                <w:right w:val="none" w:sz="0" w:space="0" w:color="auto"/>
              </w:divBdr>
              <w:divsChild>
                <w:div w:id="1503280354">
                  <w:marLeft w:val="0"/>
                  <w:marRight w:val="0"/>
                  <w:marTop w:val="0"/>
                  <w:marBottom w:val="0"/>
                  <w:divBdr>
                    <w:top w:val="none" w:sz="0" w:space="0" w:color="auto"/>
                    <w:left w:val="none" w:sz="0" w:space="0" w:color="auto"/>
                    <w:bottom w:val="none" w:sz="0" w:space="0" w:color="auto"/>
                    <w:right w:val="none" w:sz="0" w:space="0" w:color="auto"/>
                  </w:divBdr>
                  <w:divsChild>
                    <w:div w:id="719014085">
                      <w:marLeft w:val="0"/>
                      <w:marRight w:val="0"/>
                      <w:marTop w:val="450"/>
                      <w:marBottom w:val="0"/>
                      <w:divBdr>
                        <w:top w:val="none" w:sz="0" w:space="0" w:color="auto"/>
                        <w:left w:val="none" w:sz="0" w:space="0" w:color="auto"/>
                        <w:bottom w:val="none" w:sz="0" w:space="0" w:color="auto"/>
                        <w:right w:val="none" w:sz="0" w:space="0" w:color="auto"/>
                      </w:divBdr>
                      <w:divsChild>
                        <w:div w:id="884298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6872479">
          <w:marLeft w:val="0"/>
          <w:marRight w:val="0"/>
          <w:marTop w:val="0"/>
          <w:marBottom w:val="225"/>
          <w:divBdr>
            <w:top w:val="none" w:sz="0" w:space="0" w:color="auto"/>
            <w:left w:val="none" w:sz="0" w:space="0" w:color="auto"/>
            <w:bottom w:val="none" w:sz="0" w:space="0" w:color="auto"/>
            <w:right w:val="none" w:sz="0" w:space="0" w:color="auto"/>
          </w:divBdr>
        </w:div>
        <w:div w:id="1810829493">
          <w:marLeft w:val="0"/>
          <w:marRight w:val="0"/>
          <w:marTop w:val="0"/>
          <w:marBottom w:val="225"/>
          <w:divBdr>
            <w:top w:val="none" w:sz="0" w:space="0" w:color="auto"/>
            <w:left w:val="none" w:sz="0" w:space="0" w:color="auto"/>
            <w:bottom w:val="none" w:sz="0" w:space="0" w:color="auto"/>
            <w:right w:val="none" w:sz="0" w:space="0" w:color="auto"/>
          </w:divBdr>
        </w:div>
        <w:div w:id="1914048274">
          <w:marLeft w:val="0"/>
          <w:marRight w:val="0"/>
          <w:marTop w:val="0"/>
          <w:marBottom w:val="225"/>
          <w:divBdr>
            <w:top w:val="none" w:sz="0" w:space="0" w:color="auto"/>
            <w:left w:val="none" w:sz="0" w:space="0" w:color="auto"/>
            <w:bottom w:val="none" w:sz="0" w:space="0" w:color="auto"/>
            <w:right w:val="none" w:sz="0" w:space="0" w:color="auto"/>
          </w:divBdr>
        </w:div>
        <w:div w:id="2050105259">
          <w:marLeft w:val="0"/>
          <w:marRight w:val="0"/>
          <w:marTop w:val="0"/>
          <w:marBottom w:val="225"/>
          <w:divBdr>
            <w:top w:val="none" w:sz="0" w:space="0" w:color="auto"/>
            <w:left w:val="none" w:sz="0" w:space="0" w:color="auto"/>
            <w:bottom w:val="none" w:sz="0" w:space="0" w:color="auto"/>
            <w:right w:val="none" w:sz="0" w:space="0" w:color="auto"/>
          </w:divBdr>
        </w:div>
      </w:divsChild>
    </w:div>
    <w:div w:id="207377694">
      <w:bodyDiv w:val="1"/>
      <w:marLeft w:val="0"/>
      <w:marRight w:val="0"/>
      <w:marTop w:val="0"/>
      <w:marBottom w:val="0"/>
      <w:divBdr>
        <w:top w:val="none" w:sz="0" w:space="0" w:color="auto"/>
        <w:left w:val="none" w:sz="0" w:space="0" w:color="auto"/>
        <w:bottom w:val="none" w:sz="0" w:space="0" w:color="auto"/>
        <w:right w:val="none" w:sz="0" w:space="0" w:color="auto"/>
      </w:divBdr>
      <w:divsChild>
        <w:div w:id="449862956">
          <w:marLeft w:val="0"/>
          <w:marRight w:val="0"/>
          <w:marTop w:val="0"/>
          <w:marBottom w:val="0"/>
          <w:divBdr>
            <w:top w:val="none" w:sz="0" w:space="0" w:color="auto"/>
            <w:left w:val="none" w:sz="0" w:space="0" w:color="auto"/>
            <w:bottom w:val="none" w:sz="0" w:space="0" w:color="auto"/>
            <w:right w:val="none" w:sz="0" w:space="0" w:color="auto"/>
          </w:divBdr>
          <w:divsChild>
            <w:div w:id="1463184719">
              <w:marLeft w:val="0"/>
              <w:marRight w:val="0"/>
              <w:marTop w:val="0"/>
              <w:marBottom w:val="0"/>
              <w:divBdr>
                <w:top w:val="none" w:sz="0" w:space="0" w:color="auto"/>
                <w:left w:val="none" w:sz="0" w:space="0" w:color="auto"/>
                <w:bottom w:val="none" w:sz="0" w:space="0" w:color="auto"/>
                <w:right w:val="none" w:sz="0" w:space="0" w:color="auto"/>
              </w:divBdr>
              <w:divsChild>
                <w:div w:id="213432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638068">
      <w:bodyDiv w:val="1"/>
      <w:marLeft w:val="0"/>
      <w:marRight w:val="0"/>
      <w:marTop w:val="0"/>
      <w:marBottom w:val="0"/>
      <w:divBdr>
        <w:top w:val="none" w:sz="0" w:space="0" w:color="auto"/>
        <w:left w:val="none" w:sz="0" w:space="0" w:color="auto"/>
        <w:bottom w:val="none" w:sz="0" w:space="0" w:color="auto"/>
        <w:right w:val="none" w:sz="0" w:space="0" w:color="auto"/>
      </w:divBdr>
    </w:div>
    <w:div w:id="307129465">
      <w:bodyDiv w:val="1"/>
      <w:marLeft w:val="0"/>
      <w:marRight w:val="0"/>
      <w:marTop w:val="0"/>
      <w:marBottom w:val="0"/>
      <w:divBdr>
        <w:top w:val="none" w:sz="0" w:space="0" w:color="auto"/>
        <w:left w:val="none" w:sz="0" w:space="0" w:color="auto"/>
        <w:bottom w:val="none" w:sz="0" w:space="0" w:color="auto"/>
        <w:right w:val="none" w:sz="0" w:space="0" w:color="auto"/>
      </w:divBdr>
      <w:divsChild>
        <w:div w:id="741484337">
          <w:marLeft w:val="0"/>
          <w:marRight w:val="0"/>
          <w:marTop w:val="0"/>
          <w:marBottom w:val="600"/>
          <w:divBdr>
            <w:top w:val="none" w:sz="0" w:space="0" w:color="auto"/>
            <w:left w:val="none" w:sz="0" w:space="0" w:color="auto"/>
            <w:bottom w:val="none" w:sz="0" w:space="0" w:color="auto"/>
            <w:right w:val="none" w:sz="0" w:space="0" w:color="auto"/>
          </w:divBdr>
          <w:divsChild>
            <w:div w:id="1030255445">
              <w:marLeft w:val="0"/>
              <w:marRight w:val="0"/>
              <w:marTop w:val="0"/>
              <w:marBottom w:val="0"/>
              <w:divBdr>
                <w:top w:val="none" w:sz="0" w:space="0" w:color="auto"/>
                <w:left w:val="none" w:sz="0" w:space="0" w:color="auto"/>
                <w:bottom w:val="none" w:sz="0" w:space="0" w:color="auto"/>
                <w:right w:val="none" w:sz="0" w:space="0" w:color="auto"/>
              </w:divBdr>
            </w:div>
          </w:divsChild>
        </w:div>
        <w:div w:id="1747612261">
          <w:marLeft w:val="0"/>
          <w:marRight w:val="0"/>
          <w:marTop w:val="0"/>
          <w:marBottom w:val="600"/>
          <w:divBdr>
            <w:top w:val="none" w:sz="0" w:space="0" w:color="auto"/>
            <w:left w:val="none" w:sz="0" w:space="0" w:color="auto"/>
            <w:bottom w:val="none" w:sz="0" w:space="0" w:color="auto"/>
            <w:right w:val="none" w:sz="0" w:space="0" w:color="auto"/>
          </w:divBdr>
        </w:div>
      </w:divsChild>
    </w:div>
    <w:div w:id="348025439">
      <w:bodyDiv w:val="1"/>
      <w:marLeft w:val="0"/>
      <w:marRight w:val="0"/>
      <w:marTop w:val="0"/>
      <w:marBottom w:val="0"/>
      <w:divBdr>
        <w:top w:val="none" w:sz="0" w:space="0" w:color="auto"/>
        <w:left w:val="none" w:sz="0" w:space="0" w:color="auto"/>
        <w:bottom w:val="none" w:sz="0" w:space="0" w:color="auto"/>
        <w:right w:val="none" w:sz="0" w:space="0" w:color="auto"/>
      </w:divBdr>
      <w:divsChild>
        <w:div w:id="747700251">
          <w:marLeft w:val="0"/>
          <w:marRight w:val="0"/>
          <w:marTop w:val="0"/>
          <w:marBottom w:val="0"/>
          <w:divBdr>
            <w:top w:val="none" w:sz="0" w:space="0" w:color="auto"/>
            <w:left w:val="none" w:sz="0" w:space="0" w:color="auto"/>
            <w:bottom w:val="none" w:sz="0" w:space="0" w:color="auto"/>
            <w:right w:val="none" w:sz="0" w:space="0" w:color="auto"/>
          </w:divBdr>
          <w:divsChild>
            <w:div w:id="732311423">
              <w:marLeft w:val="0"/>
              <w:marRight w:val="0"/>
              <w:marTop w:val="0"/>
              <w:marBottom w:val="0"/>
              <w:divBdr>
                <w:top w:val="none" w:sz="0" w:space="0" w:color="auto"/>
                <w:left w:val="none" w:sz="0" w:space="0" w:color="auto"/>
                <w:bottom w:val="none" w:sz="0" w:space="0" w:color="auto"/>
                <w:right w:val="none" w:sz="0" w:space="0" w:color="auto"/>
              </w:divBdr>
              <w:divsChild>
                <w:div w:id="1124272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184909">
      <w:bodyDiv w:val="1"/>
      <w:marLeft w:val="0"/>
      <w:marRight w:val="0"/>
      <w:marTop w:val="0"/>
      <w:marBottom w:val="0"/>
      <w:divBdr>
        <w:top w:val="none" w:sz="0" w:space="0" w:color="auto"/>
        <w:left w:val="none" w:sz="0" w:space="0" w:color="auto"/>
        <w:bottom w:val="none" w:sz="0" w:space="0" w:color="auto"/>
        <w:right w:val="none" w:sz="0" w:space="0" w:color="auto"/>
      </w:divBdr>
    </w:div>
    <w:div w:id="415707104">
      <w:bodyDiv w:val="1"/>
      <w:marLeft w:val="0"/>
      <w:marRight w:val="0"/>
      <w:marTop w:val="0"/>
      <w:marBottom w:val="0"/>
      <w:divBdr>
        <w:top w:val="none" w:sz="0" w:space="0" w:color="auto"/>
        <w:left w:val="none" w:sz="0" w:space="0" w:color="auto"/>
        <w:bottom w:val="none" w:sz="0" w:space="0" w:color="auto"/>
        <w:right w:val="none" w:sz="0" w:space="0" w:color="auto"/>
      </w:divBdr>
      <w:divsChild>
        <w:div w:id="601300468">
          <w:marLeft w:val="0"/>
          <w:marRight w:val="0"/>
          <w:marTop w:val="0"/>
          <w:marBottom w:val="0"/>
          <w:divBdr>
            <w:top w:val="none" w:sz="0" w:space="0" w:color="auto"/>
            <w:left w:val="none" w:sz="0" w:space="0" w:color="auto"/>
            <w:bottom w:val="none" w:sz="0" w:space="0" w:color="auto"/>
            <w:right w:val="none" w:sz="0" w:space="0" w:color="auto"/>
          </w:divBdr>
        </w:div>
        <w:div w:id="1223713833">
          <w:marLeft w:val="0"/>
          <w:marRight w:val="0"/>
          <w:marTop w:val="0"/>
          <w:marBottom w:val="0"/>
          <w:divBdr>
            <w:top w:val="none" w:sz="0" w:space="0" w:color="auto"/>
            <w:left w:val="none" w:sz="0" w:space="0" w:color="auto"/>
            <w:bottom w:val="none" w:sz="0" w:space="0" w:color="auto"/>
            <w:right w:val="none" w:sz="0" w:space="0" w:color="auto"/>
          </w:divBdr>
        </w:div>
      </w:divsChild>
    </w:div>
    <w:div w:id="441611546">
      <w:bodyDiv w:val="1"/>
      <w:marLeft w:val="0"/>
      <w:marRight w:val="0"/>
      <w:marTop w:val="0"/>
      <w:marBottom w:val="0"/>
      <w:divBdr>
        <w:top w:val="none" w:sz="0" w:space="0" w:color="auto"/>
        <w:left w:val="none" w:sz="0" w:space="0" w:color="auto"/>
        <w:bottom w:val="none" w:sz="0" w:space="0" w:color="auto"/>
        <w:right w:val="none" w:sz="0" w:space="0" w:color="auto"/>
      </w:divBdr>
    </w:div>
    <w:div w:id="444010122">
      <w:bodyDiv w:val="1"/>
      <w:marLeft w:val="0"/>
      <w:marRight w:val="0"/>
      <w:marTop w:val="0"/>
      <w:marBottom w:val="0"/>
      <w:divBdr>
        <w:top w:val="none" w:sz="0" w:space="0" w:color="auto"/>
        <w:left w:val="none" w:sz="0" w:space="0" w:color="auto"/>
        <w:bottom w:val="none" w:sz="0" w:space="0" w:color="auto"/>
        <w:right w:val="none" w:sz="0" w:space="0" w:color="auto"/>
      </w:divBdr>
    </w:div>
    <w:div w:id="445927463">
      <w:bodyDiv w:val="1"/>
      <w:marLeft w:val="0"/>
      <w:marRight w:val="0"/>
      <w:marTop w:val="0"/>
      <w:marBottom w:val="0"/>
      <w:divBdr>
        <w:top w:val="none" w:sz="0" w:space="0" w:color="auto"/>
        <w:left w:val="none" w:sz="0" w:space="0" w:color="auto"/>
        <w:bottom w:val="none" w:sz="0" w:space="0" w:color="auto"/>
        <w:right w:val="none" w:sz="0" w:space="0" w:color="auto"/>
      </w:divBdr>
      <w:divsChild>
        <w:div w:id="1135491527">
          <w:marLeft w:val="0"/>
          <w:marRight w:val="0"/>
          <w:marTop w:val="0"/>
          <w:marBottom w:val="0"/>
          <w:divBdr>
            <w:top w:val="none" w:sz="0" w:space="0" w:color="auto"/>
            <w:left w:val="none" w:sz="0" w:space="0" w:color="auto"/>
            <w:bottom w:val="none" w:sz="0" w:space="0" w:color="auto"/>
            <w:right w:val="none" w:sz="0" w:space="0" w:color="auto"/>
          </w:divBdr>
          <w:divsChild>
            <w:div w:id="1301350749">
              <w:marLeft w:val="0"/>
              <w:marRight w:val="0"/>
              <w:marTop w:val="0"/>
              <w:marBottom w:val="0"/>
              <w:divBdr>
                <w:top w:val="none" w:sz="0" w:space="0" w:color="auto"/>
                <w:left w:val="none" w:sz="0" w:space="0" w:color="auto"/>
                <w:bottom w:val="none" w:sz="0" w:space="0" w:color="auto"/>
                <w:right w:val="none" w:sz="0" w:space="0" w:color="auto"/>
              </w:divBdr>
              <w:divsChild>
                <w:div w:id="773138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6777638">
      <w:bodyDiv w:val="1"/>
      <w:marLeft w:val="0"/>
      <w:marRight w:val="0"/>
      <w:marTop w:val="0"/>
      <w:marBottom w:val="0"/>
      <w:divBdr>
        <w:top w:val="none" w:sz="0" w:space="0" w:color="auto"/>
        <w:left w:val="none" w:sz="0" w:space="0" w:color="auto"/>
        <w:bottom w:val="none" w:sz="0" w:space="0" w:color="auto"/>
        <w:right w:val="none" w:sz="0" w:space="0" w:color="auto"/>
      </w:divBdr>
    </w:div>
    <w:div w:id="555356057">
      <w:bodyDiv w:val="1"/>
      <w:marLeft w:val="0"/>
      <w:marRight w:val="0"/>
      <w:marTop w:val="0"/>
      <w:marBottom w:val="0"/>
      <w:divBdr>
        <w:top w:val="none" w:sz="0" w:space="0" w:color="auto"/>
        <w:left w:val="none" w:sz="0" w:space="0" w:color="auto"/>
        <w:bottom w:val="none" w:sz="0" w:space="0" w:color="auto"/>
        <w:right w:val="none" w:sz="0" w:space="0" w:color="auto"/>
      </w:divBdr>
    </w:div>
    <w:div w:id="569925410">
      <w:bodyDiv w:val="1"/>
      <w:marLeft w:val="0"/>
      <w:marRight w:val="0"/>
      <w:marTop w:val="0"/>
      <w:marBottom w:val="0"/>
      <w:divBdr>
        <w:top w:val="none" w:sz="0" w:space="0" w:color="auto"/>
        <w:left w:val="none" w:sz="0" w:space="0" w:color="auto"/>
        <w:bottom w:val="none" w:sz="0" w:space="0" w:color="auto"/>
        <w:right w:val="none" w:sz="0" w:space="0" w:color="auto"/>
      </w:divBdr>
      <w:divsChild>
        <w:div w:id="979581580">
          <w:marLeft w:val="0"/>
          <w:marRight w:val="0"/>
          <w:marTop w:val="0"/>
          <w:marBottom w:val="0"/>
          <w:divBdr>
            <w:top w:val="single" w:sz="12" w:space="0" w:color="FFFFFF"/>
            <w:left w:val="none" w:sz="0" w:space="0" w:color="auto"/>
            <w:bottom w:val="none" w:sz="0" w:space="0" w:color="auto"/>
            <w:right w:val="none" w:sz="0" w:space="0" w:color="auto"/>
          </w:divBdr>
          <w:divsChild>
            <w:div w:id="1628583327">
              <w:marLeft w:val="0"/>
              <w:marRight w:val="0"/>
              <w:marTop w:val="0"/>
              <w:marBottom w:val="171"/>
              <w:divBdr>
                <w:top w:val="none" w:sz="0" w:space="0" w:color="auto"/>
                <w:left w:val="none" w:sz="0" w:space="0" w:color="auto"/>
                <w:bottom w:val="none" w:sz="0" w:space="0" w:color="auto"/>
                <w:right w:val="none" w:sz="0" w:space="0" w:color="auto"/>
              </w:divBdr>
            </w:div>
          </w:divsChild>
        </w:div>
      </w:divsChild>
    </w:div>
    <w:div w:id="591160877">
      <w:bodyDiv w:val="1"/>
      <w:marLeft w:val="0"/>
      <w:marRight w:val="0"/>
      <w:marTop w:val="0"/>
      <w:marBottom w:val="0"/>
      <w:divBdr>
        <w:top w:val="none" w:sz="0" w:space="0" w:color="auto"/>
        <w:left w:val="none" w:sz="0" w:space="0" w:color="auto"/>
        <w:bottom w:val="none" w:sz="0" w:space="0" w:color="auto"/>
        <w:right w:val="none" w:sz="0" w:space="0" w:color="auto"/>
      </w:divBdr>
      <w:divsChild>
        <w:div w:id="27341411">
          <w:marLeft w:val="0"/>
          <w:marRight w:val="0"/>
          <w:marTop w:val="0"/>
          <w:marBottom w:val="0"/>
          <w:divBdr>
            <w:top w:val="none" w:sz="0" w:space="0" w:color="auto"/>
            <w:left w:val="none" w:sz="0" w:space="0" w:color="auto"/>
            <w:bottom w:val="none" w:sz="0" w:space="0" w:color="auto"/>
            <w:right w:val="none" w:sz="0" w:space="0" w:color="auto"/>
          </w:divBdr>
          <w:divsChild>
            <w:div w:id="62967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368563">
      <w:bodyDiv w:val="1"/>
      <w:marLeft w:val="0"/>
      <w:marRight w:val="0"/>
      <w:marTop w:val="0"/>
      <w:marBottom w:val="0"/>
      <w:divBdr>
        <w:top w:val="none" w:sz="0" w:space="0" w:color="auto"/>
        <w:left w:val="none" w:sz="0" w:space="0" w:color="auto"/>
        <w:bottom w:val="none" w:sz="0" w:space="0" w:color="auto"/>
        <w:right w:val="none" w:sz="0" w:space="0" w:color="auto"/>
      </w:divBdr>
      <w:divsChild>
        <w:div w:id="2048216554">
          <w:marLeft w:val="0"/>
          <w:marRight w:val="0"/>
          <w:marTop w:val="0"/>
          <w:marBottom w:val="0"/>
          <w:divBdr>
            <w:top w:val="none" w:sz="0" w:space="0" w:color="auto"/>
            <w:left w:val="none" w:sz="0" w:space="0" w:color="auto"/>
            <w:bottom w:val="none" w:sz="0" w:space="0" w:color="auto"/>
            <w:right w:val="none" w:sz="0" w:space="0" w:color="auto"/>
          </w:divBdr>
        </w:div>
        <w:div w:id="2073113807">
          <w:marLeft w:val="0"/>
          <w:marRight w:val="0"/>
          <w:marTop w:val="0"/>
          <w:marBottom w:val="0"/>
          <w:divBdr>
            <w:top w:val="none" w:sz="0" w:space="0" w:color="auto"/>
            <w:left w:val="none" w:sz="0" w:space="0" w:color="auto"/>
            <w:bottom w:val="none" w:sz="0" w:space="0" w:color="auto"/>
            <w:right w:val="none" w:sz="0" w:space="0" w:color="auto"/>
          </w:divBdr>
        </w:div>
      </w:divsChild>
    </w:div>
    <w:div w:id="622811837">
      <w:bodyDiv w:val="1"/>
      <w:marLeft w:val="0"/>
      <w:marRight w:val="0"/>
      <w:marTop w:val="0"/>
      <w:marBottom w:val="0"/>
      <w:divBdr>
        <w:top w:val="none" w:sz="0" w:space="0" w:color="auto"/>
        <w:left w:val="none" w:sz="0" w:space="0" w:color="auto"/>
        <w:bottom w:val="none" w:sz="0" w:space="0" w:color="auto"/>
        <w:right w:val="none" w:sz="0" w:space="0" w:color="auto"/>
      </w:divBdr>
    </w:div>
    <w:div w:id="623385386">
      <w:bodyDiv w:val="1"/>
      <w:marLeft w:val="0"/>
      <w:marRight w:val="0"/>
      <w:marTop w:val="0"/>
      <w:marBottom w:val="0"/>
      <w:divBdr>
        <w:top w:val="none" w:sz="0" w:space="0" w:color="auto"/>
        <w:left w:val="none" w:sz="0" w:space="0" w:color="auto"/>
        <w:bottom w:val="none" w:sz="0" w:space="0" w:color="auto"/>
        <w:right w:val="none" w:sz="0" w:space="0" w:color="auto"/>
      </w:divBdr>
    </w:div>
    <w:div w:id="645084613">
      <w:bodyDiv w:val="1"/>
      <w:marLeft w:val="0"/>
      <w:marRight w:val="0"/>
      <w:marTop w:val="0"/>
      <w:marBottom w:val="0"/>
      <w:divBdr>
        <w:top w:val="none" w:sz="0" w:space="0" w:color="auto"/>
        <w:left w:val="none" w:sz="0" w:space="0" w:color="auto"/>
        <w:bottom w:val="none" w:sz="0" w:space="0" w:color="auto"/>
        <w:right w:val="none" w:sz="0" w:space="0" w:color="auto"/>
      </w:divBdr>
      <w:divsChild>
        <w:div w:id="623930094">
          <w:marLeft w:val="0"/>
          <w:marRight w:val="0"/>
          <w:marTop w:val="0"/>
          <w:marBottom w:val="0"/>
          <w:divBdr>
            <w:top w:val="none" w:sz="0" w:space="0" w:color="auto"/>
            <w:left w:val="none" w:sz="0" w:space="0" w:color="auto"/>
            <w:bottom w:val="none" w:sz="0" w:space="0" w:color="auto"/>
            <w:right w:val="none" w:sz="0" w:space="0" w:color="auto"/>
          </w:divBdr>
        </w:div>
        <w:div w:id="1402753119">
          <w:marLeft w:val="0"/>
          <w:marRight w:val="0"/>
          <w:marTop w:val="0"/>
          <w:marBottom w:val="225"/>
          <w:divBdr>
            <w:top w:val="none" w:sz="0" w:space="0" w:color="auto"/>
            <w:left w:val="none" w:sz="0" w:space="0" w:color="auto"/>
            <w:bottom w:val="none" w:sz="0" w:space="0" w:color="auto"/>
            <w:right w:val="none" w:sz="0" w:space="0" w:color="auto"/>
          </w:divBdr>
        </w:div>
        <w:div w:id="1681353987">
          <w:marLeft w:val="0"/>
          <w:marRight w:val="0"/>
          <w:marTop w:val="0"/>
          <w:marBottom w:val="225"/>
          <w:divBdr>
            <w:top w:val="none" w:sz="0" w:space="0" w:color="auto"/>
            <w:left w:val="none" w:sz="0" w:space="0" w:color="auto"/>
            <w:bottom w:val="none" w:sz="0" w:space="0" w:color="auto"/>
            <w:right w:val="none" w:sz="0" w:space="0" w:color="auto"/>
          </w:divBdr>
        </w:div>
      </w:divsChild>
    </w:div>
    <w:div w:id="677542875">
      <w:bodyDiv w:val="1"/>
      <w:marLeft w:val="0"/>
      <w:marRight w:val="0"/>
      <w:marTop w:val="0"/>
      <w:marBottom w:val="0"/>
      <w:divBdr>
        <w:top w:val="none" w:sz="0" w:space="0" w:color="auto"/>
        <w:left w:val="none" w:sz="0" w:space="0" w:color="auto"/>
        <w:bottom w:val="none" w:sz="0" w:space="0" w:color="auto"/>
        <w:right w:val="none" w:sz="0" w:space="0" w:color="auto"/>
      </w:divBdr>
    </w:div>
    <w:div w:id="680401048">
      <w:bodyDiv w:val="1"/>
      <w:marLeft w:val="0"/>
      <w:marRight w:val="0"/>
      <w:marTop w:val="0"/>
      <w:marBottom w:val="0"/>
      <w:divBdr>
        <w:top w:val="none" w:sz="0" w:space="0" w:color="auto"/>
        <w:left w:val="none" w:sz="0" w:space="0" w:color="auto"/>
        <w:bottom w:val="none" w:sz="0" w:space="0" w:color="auto"/>
        <w:right w:val="none" w:sz="0" w:space="0" w:color="auto"/>
      </w:divBdr>
      <w:divsChild>
        <w:div w:id="1216163941">
          <w:marLeft w:val="0"/>
          <w:marRight w:val="0"/>
          <w:marTop w:val="0"/>
          <w:marBottom w:val="0"/>
          <w:divBdr>
            <w:top w:val="none" w:sz="0" w:space="0" w:color="auto"/>
            <w:left w:val="none" w:sz="0" w:space="0" w:color="auto"/>
            <w:bottom w:val="none" w:sz="0" w:space="0" w:color="auto"/>
            <w:right w:val="none" w:sz="0" w:space="0" w:color="auto"/>
          </w:divBdr>
          <w:divsChild>
            <w:div w:id="1122186245">
              <w:marLeft w:val="0"/>
              <w:marRight w:val="0"/>
              <w:marTop w:val="0"/>
              <w:marBottom w:val="0"/>
              <w:divBdr>
                <w:top w:val="none" w:sz="0" w:space="0" w:color="auto"/>
                <w:left w:val="none" w:sz="0" w:space="0" w:color="auto"/>
                <w:bottom w:val="none" w:sz="0" w:space="0" w:color="auto"/>
                <w:right w:val="none" w:sz="0" w:space="0" w:color="auto"/>
              </w:divBdr>
              <w:divsChild>
                <w:div w:id="564070409">
                  <w:marLeft w:val="0"/>
                  <w:marRight w:val="0"/>
                  <w:marTop w:val="0"/>
                  <w:marBottom w:val="0"/>
                  <w:divBdr>
                    <w:top w:val="none" w:sz="0" w:space="0" w:color="auto"/>
                    <w:left w:val="none" w:sz="0" w:space="0" w:color="auto"/>
                    <w:bottom w:val="none" w:sz="0" w:space="0" w:color="auto"/>
                    <w:right w:val="none" w:sz="0" w:space="0" w:color="auto"/>
                  </w:divBdr>
                  <w:divsChild>
                    <w:div w:id="59035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2347149">
      <w:bodyDiv w:val="1"/>
      <w:marLeft w:val="0"/>
      <w:marRight w:val="0"/>
      <w:marTop w:val="0"/>
      <w:marBottom w:val="0"/>
      <w:divBdr>
        <w:top w:val="none" w:sz="0" w:space="0" w:color="auto"/>
        <w:left w:val="none" w:sz="0" w:space="0" w:color="auto"/>
        <w:bottom w:val="none" w:sz="0" w:space="0" w:color="auto"/>
        <w:right w:val="none" w:sz="0" w:space="0" w:color="auto"/>
      </w:divBdr>
    </w:div>
    <w:div w:id="707411046">
      <w:bodyDiv w:val="1"/>
      <w:marLeft w:val="0"/>
      <w:marRight w:val="0"/>
      <w:marTop w:val="0"/>
      <w:marBottom w:val="0"/>
      <w:divBdr>
        <w:top w:val="none" w:sz="0" w:space="0" w:color="auto"/>
        <w:left w:val="none" w:sz="0" w:space="0" w:color="auto"/>
        <w:bottom w:val="none" w:sz="0" w:space="0" w:color="auto"/>
        <w:right w:val="none" w:sz="0" w:space="0" w:color="auto"/>
      </w:divBdr>
    </w:div>
    <w:div w:id="738290536">
      <w:bodyDiv w:val="1"/>
      <w:marLeft w:val="0"/>
      <w:marRight w:val="0"/>
      <w:marTop w:val="0"/>
      <w:marBottom w:val="0"/>
      <w:divBdr>
        <w:top w:val="none" w:sz="0" w:space="0" w:color="auto"/>
        <w:left w:val="none" w:sz="0" w:space="0" w:color="auto"/>
        <w:bottom w:val="none" w:sz="0" w:space="0" w:color="auto"/>
        <w:right w:val="none" w:sz="0" w:space="0" w:color="auto"/>
      </w:divBdr>
    </w:div>
    <w:div w:id="739601823">
      <w:bodyDiv w:val="1"/>
      <w:marLeft w:val="0"/>
      <w:marRight w:val="0"/>
      <w:marTop w:val="0"/>
      <w:marBottom w:val="0"/>
      <w:divBdr>
        <w:top w:val="none" w:sz="0" w:space="0" w:color="auto"/>
        <w:left w:val="none" w:sz="0" w:space="0" w:color="auto"/>
        <w:bottom w:val="none" w:sz="0" w:space="0" w:color="auto"/>
        <w:right w:val="none" w:sz="0" w:space="0" w:color="auto"/>
      </w:divBdr>
    </w:div>
    <w:div w:id="762532671">
      <w:bodyDiv w:val="1"/>
      <w:marLeft w:val="0"/>
      <w:marRight w:val="0"/>
      <w:marTop w:val="0"/>
      <w:marBottom w:val="0"/>
      <w:divBdr>
        <w:top w:val="none" w:sz="0" w:space="0" w:color="auto"/>
        <w:left w:val="none" w:sz="0" w:space="0" w:color="auto"/>
        <w:bottom w:val="none" w:sz="0" w:space="0" w:color="auto"/>
        <w:right w:val="none" w:sz="0" w:space="0" w:color="auto"/>
      </w:divBdr>
      <w:divsChild>
        <w:div w:id="169804835">
          <w:marLeft w:val="0"/>
          <w:marRight w:val="0"/>
          <w:marTop w:val="0"/>
          <w:marBottom w:val="0"/>
          <w:divBdr>
            <w:top w:val="single" w:sz="12" w:space="0" w:color="FFFFFF"/>
            <w:left w:val="none" w:sz="0" w:space="0" w:color="auto"/>
            <w:bottom w:val="none" w:sz="0" w:space="0" w:color="auto"/>
            <w:right w:val="none" w:sz="0" w:space="0" w:color="auto"/>
          </w:divBdr>
          <w:divsChild>
            <w:div w:id="1285579526">
              <w:marLeft w:val="0"/>
              <w:marRight w:val="0"/>
              <w:marTop w:val="0"/>
              <w:marBottom w:val="171"/>
              <w:divBdr>
                <w:top w:val="none" w:sz="0" w:space="0" w:color="auto"/>
                <w:left w:val="none" w:sz="0" w:space="0" w:color="auto"/>
                <w:bottom w:val="none" w:sz="0" w:space="0" w:color="auto"/>
                <w:right w:val="none" w:sz="0" w:space="0" w:color="auto"/>
              </w:divBdr>
            </w:div>
          </w:divsChild>
        </w:div>
      </w:divsChild>
    </w:div>
    <w:div w:id="775635228">
      <w:bodyDiv w:val="1"/>
      <w:marLeft w:val="0"/>
      <w:marRight w:val="0"/>
      <w:marTop w:val="0"/>
      <w:marBottom w:val="0"/>
      <w:divBdr>
        <w:top w:val="none" w:sz="0" w:space="0" w:color="auto"/>
        <w:left w:val="none" w:sz="0" w:space="0" w:color="auto"/>
        <w:bottom w:val="none" w:sz="0" w:space="0" w:color="auto"/>
        <w:right w:val="none" w:sz="0" w:space="0" w:color="auto"/>
      </w:divBdr>
    </w:div>
    <w:div w:id="800655780">
      <w:bodyDiv w:val="1"/>
      <w:marLeft w:val="0"/>
      <w:marRight w:val="0"/>
      <w:marTop w:val="0"/>
      <w:marBottom w:val="0"/>
      <w:divBdr>
        <w:top w:val="none" w:sz="0" w:space="0" w:color="auto"/>
        <w:left w:val="none" w:sz="0" w:space="0" w:color="auto"/>
        <w:bottom w:val="none" w:sz="0" w:space="0" w:color="auto"/>
        <w:right w:val="none" w:sz="0" w:space="0" w:color="auto"/>
      </w:divBdr>
    </w:div>
    <w:div w:id="805197951">
      <w:bodyDiv w:val="1"/>
      <w:marLeft w:val="0"/>
      <w:marRight w:val="0"/>
      <w:marTop w:val="0"/>
      <w:marBottom w:val="0"/>
      <w:divBdr>
        <w:top w:val="none" w:sz="0" w:space="0" w:color="auto"/>
        <w:left w:val="none" w:sz="0" w:space="0" w:color="auto"/>
        <w:bottom w:val="none" w:sz="0" w:space="0" w:color="auto"/>
        <w:right w:val="none" w:sz="0" w:space="0" w:color="auto"/>
      </w:divBdr>
      <w:divsChild>
        <w:div w:id="1938245048">
          <w:marLeft w:val="0"/>
          <w:marRight w:val="0"/>
          <w:marTop w:val="0"/>
          <w:marBottom w:val="0"/>
          <w:divBdr>
            <w:top w:val="none" w:sz="0" w:space="0" w:color="auto"/>
            <w:left w:val="none" w:sz="0" w:space="0" w:color="auto"/>
            <w:bottom w:val="none" w:sz="0" w:space="0" w:color="auto"/>
            <w:right w:val="none" w:sz="0" w:space="0" w:color="auto"/>
          </w:divBdr>
          <w:divsChild>
            <w:div w:id="682784803">
              <w:marLeft w:val="0"/>
              <w:marRight w:val="0"/>
              <w:marTop w:val="0"/>
              <w:marBottom w:val="0"/>
              <w:divBdr>
                <w:top w:val="none" w:sz="0" w:space="0" w:color="auto"/>
                <w:left w:val="none" w:sz="0" w:space="0" w:color="auto"/>
                <w:bottom w:val="none" w:sz="0" w:space="0" w:color="auto"/>
                <w:right w:val="none" w:sz="0" w:space="0" w:color="auto"/>
              </w:divBdr>
              <w:divsChild>
                <w:div w:id="510026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499983">
      <w:bodyDiv w:val="1"/>
      <w:marLeft w:val="0"/>
      <w:marRight w:val="0"/>
      <w:marTop w:val="0"/>
      <w:marBottom w:val="0"/>
      <w:divBdr>
        <w:top w:val="none" w:sz="0" w:space="0" w:color="auto"/>
        <w:left w:val="none" w:sz="0" w:space="0" w:color="auto"/>
        <w:bottom w:val="none" w:sz="0" w:space="0" w:color="auto"/>
        <w:right w:val="none" w:sz="0" w:space="0" w:color="auto"/>
      </w:divBdr>
    </w:div>
    <w:div w:id="839545644">
      <w:bodyDiv w:val="1"/>
      <w:marLeft w:val="0"/>
      <w:marRight w:val="0"/>
      <w:marTop w:val="0"/>
      <w:marBottom w:val="0"/>
      <w:divBdr>
        <w:top w:val="none" w:sz="0" w:space="0" w:color="auto"/>
        <w:left w:val="none" w:sz="0" w:space="0" w:color="auto"/>
        <w:bottom w:val="none" w:sz="0" w:space="0" w:color="auto"/>
        <w:right w:val="none" w:sz="0" w:space="0" w:color="auto"/>
      </w:divBdr>
    </w:div>
    <w:div w:id="920023471">
      <w:bodyDiv w:val="1"/>
      <w:marLeft w:val="0"/>
      <w:marRight w:val="0"/>
      <w:marTop w:val="0"/>
      <w:marBottom w:val="0"/>
      <w:divBdr>
        <w:top w:val="none" w:sz="0" w:space="0" w:color="auto"/>
        <w:left w:val="none" w:sz="0" w:space="0" w:color="auto"/>
        <w:bottom w:val="none" w:sz="0" w:space="0" w:color="auto"/>
        <w:right w:val="none" w:sz="0" w:space="0" w:color="auto"/>
      </w:divBdr>
    </w:div>
    <w:div w:id="939415241">
      <w:bodyDiv w:val="1"/>
      <w:marLeft w:val="0"/>
      <w:marRight w:val="0"/>
      <w:marTop w:val="0"/>
      <w:marBottom w:val="0"/>
      <w:divBdr>
        <w:top w:val="none" w:sz="0" w:space="0" w:color="auto"/>
        <w:left w:val="none" w:sz="0" w:space="0" w:color="auto"/>
        <w:bottom w:val="none" w:sz="0" w:space="0" w:color="auto"/>
        <w:right w:val="none" w:sz="0" w:space="0" w:color="auto"/>
      </w:divBdr>
    </w:div>
    <w:div w:id="940262120">
      <w:bodyDiv w:val="1"/>
      <w:marLeft w:val="0"/>
      <w:marRight w:val="0"/>
      <w:marTop w:val="0"/>
      <w:marBottom w:val="0"/>
      <w:divBdr>
        <w:top w:val="none" w:sz="0" w:space="0" w:color="auto"/>
        <w:left w:val="none" w:sz="0" w:space="0" w:color="auto"/>
        <w:bottom w:val="none" w:sz="0" w:space="0" w:color="auto"/>
        <w:right w:val="none" w:sz="0" w:space="0" w:color="auto"/>
      </w:divBdr>
    </w:div>
    <w:div w:id="946231135">
      <w:bodyDiv w:val="1"/>
      <w:marLeft w:val="0"/>
      <w:marRight w:val="0"/>
      <w:marTop w:val="0"/>
      <w:marBottom w:val="0"/>
      <w:divBdr>
        <w:top w:val="none" w:sz="0" w:space="0" w:color="auto"/>
        <w:left w:val="none" w:sz="0" w:space="0" w:color="auto"/>
        <w:bottom w:val="none" w:sz="0" w:space="0" w:color="auto"/>
        <w:right w:val="none" w:sz="0" w:space="0" w:color="auto"/>
      </w:divBdr>
    </w:div>
    <w:div w:id="962688643">
      <w:bodyDiv w:val="1"/>
      <w:marLeft w:val="0"/>
      <w:marRight w:val="0"/>
      <w:marTop w:val="0"/>
      <w:marBottom w:val="0"/>
      <w:divBdr>
        <w:top w:val="none" w:sz="0" w:space="0" w:color="auto"/>
        <w:left w:val="none" w:sz="0" w:space="0" w:color="auto"/>
        <w:bottom w:val="none" w:sz="0" w:space="0" w:color="auto"/>
        <w:right w:val="none" w:sz="0" w:space="0" w:color="auto"/>
      </w:divBdr>
    </w:div>
    <w:div w:id="996887083">
      <w:bodyDiv w:val="1"/>
      <w:marLeft w:val="0"/>
      <w:marRight w:val="0"/>
      <w:marTop w:val="0"/>
      <w:marBottom w:val="0"/>
      <w:divBdr>
        <w:top w:val="none" w:sz="0" w:space="0" w:color="auto"/>
        <w:left w:val="none" w:sz="0" w:space="0" w:color="auto"/>
        <w:bottom w:val="none" w:sz="0" w:space="0" w:color="auto"/>
        <w:right w:val="none" w:sz="0" w:space="0" w:color="auto"/>
      </w:divBdr>
    </w:div>
    <w:div w:id="1024863414">
      <w:bodyDiv w:val="1"/>
      <w:marLeft w:val="0"/>
      <w:marRight w:val="0"/>
      <w:marTop w:val="0"/>
      <w:marBottom w:val="0"/>
      <w:divBdr>
        <w:top w:val="none" w:sz="0" w:space="0" w:color="auto"/>
        <w:left w:val="none" w:sz="0" w:space="0" w:color="auto"/>
        <w:bottom w:val="none" w:sz="0" w:space="0" w:color="auto"/>
        <w:right w:val="none" w:sz="0" w:space="0" w:color="auto"/>
      </w:divBdr>
    </w:div>
    <w:div w:id="1032682325">
      <w:bodyDiv w:val="1"/>
      <w:marLeft w:val="0"/>
      <w:marRight w:val="0"/>
      <w:marTop w:val="0"/>
      <w:marBottom w:val="0"/>
      <w:divBdr>
        <w:top w:val="none" w:sz="0" w:space="0" w:color="auto"/>
        <w:left w:val="none" w:sz="0" w:space="0" w:color="auto"/>
        <w:bottom w:val="none" w:sz="0" w:space="0" w:color="auto"/>
        <w:right w:val="none" w:sz="0" w:space="0" w:color="auto"/>
      </w:divBdr>
    </w:div>
    <w:div w:id="1055200309">
      <w:bodyDiv w:val="1"/>
      <w:marLeft w:val="0"/>
      <w:marRight w:val="0"/>
      <w:marTop w:val="0"/>
      <w:marBottom w:val="0"/>
      <w:divBdr>
        <w:top w:val="none" w:sz="0" w:space="0" w:color="auto"/>
        <w:left w:val="none" w:sz="0" w:space="0" w:color="auto"/>
        <w:bottom w:val="none" w:sz="0" w:space="0" w:color="auto"/>
        <w:right w:val="none" w:sz="0" w:space="0" w:color="auto"/>
      </w:divBdr>
    </w:div>
    <w:div w:id="1079592829">
      <w:bodyDiv w:val="1"/>
      <w:marLeft w:val="0"/>
      <w:marRight w:val="0"/>
      <w:marTop w:val="0"/>
      <w:marBottom w:val="0"/>
      <w:divBdr>
        <w:top w:val="none" w:sz="0" w:space="0" w:color="auto"/>
        <w:left w:val="none" w:sz="0" w:space="0" w:color="auto"/>
        <w:bottom w:val="none" w:sz="0" w:space="0" w:color="auto"/>
        <w:right w:val="none" w:sz="0" w:space="0" w:color="auto"/>
      </w:divBdr>
    </w:div>
    <w:div w:id="1112093983">
      <w:bodyDiv w:val="1"/>
      <w:marLeft w:val="0"/>
      <w:marRight w:val="0"/>
      <w:marTop w:val="0"/>
      <w:marBottom w:val="0"/>
      <w:divBdr>
        <w:top w:val="none" w:sz="0" w:space="0" w:color="auto"/>
        <w:left w:val="none" w:sz="0" w:space="0" w:color="auto"/>
        <w:bottom w:val="none" w:sz="0" w:space="0" w:color="auto"/>
        <w:right w:val="none" w:sz="0" w:space="0" w:color="auto"/>
      </w:divBdr>
    </w:div>
    <w:div w:id="1114205661">
      <w:bodyDiv w:val="1"/>
      <w:marLeft w:val="0"/>
      <w:marRight w:val="0"/>
      <w:marTop w:val="0"/>
      <w:marBottom w:val="0"/>
      <w:divBdr>
        <w:top w:val="none" w:sz="0" w:space="0" w:color="auto"/>
        <w:left w:val="none" w:sz="0" w:space="0" w:color="auto"/>
        <w:bottom w:val="none" w:sz="0" w:space="0" w:color="auto"/>
        <w:right w:val="none" w:sz="0" w:space="0" w:color="auto"/>
      </w:divBdr>
    </w:div>
    <w:div w:id="1119764775">
      <w:bodyDiv w:val="1"/>
      <w:marLeft w:val="0"/>
      <w:marRight w:val="0"/>
      <w:marTop w:val="0"/>
      <w:marBottom w:val="0"/>
      <w:divBdr>
        <w:top w:val="none" w:sz="0" w:space="0" w:color="auto"/>
        <w:left w:val="none" w:sz="0" w:space="0" w:color="auto"/>
        <w:bottom w:val="none" w:sz="0" w:space="0" w:color="auto"/>
        <w:right w:val="none" w:sz="0" w:space="0" w:color="auto"/>
      </w:divBdr>
    </w:div>
    <w:div w:id="1195000971">
      <w:bodyDiv w:val="1"/>
      <w:marLeft w:val="0"/>
      <w:marRight w:val="0"/>
      <w:marTop w:val="0"/>
      <w:marBottom w:val="0"/>
      <w:divBdr>
        <w:top w:val="none" w:sz="0" w:space="0" w:color="auto"/>
        <w:left w:val="none" w:sz="0" w:space="0" w:color="auto"/>
        <w:bottom w:val="none" w:sz="0" w:space="0" w:color="auto"/>
        <w:right w:val="none" w:sz="0" w:space="0" w:color="auto"/>
      </w:divBdr>
    </w:div>
    <w:div w:id="1198741580">
      <w:bodyDiv w:val="1"/>
      <w:marLeft w:val="0"/>
      <w:marRight w:val="0"/>
      <w:marTop w:val="0"/>
      <w:marBottom w:val="0"/>
      <w:divBdr>
        <w:top w:val="none" w:sz="0" w:space="0" w:color="auto"/>
        <w:left w:val="none" w:sz="0" w:space="0" w:color="auto"/>
        <w:bottom w:val="none" w:sz="0" w:space="0" w:color="auto"/>
        <w:right w:val="none" w:sz="0" w:space="0" w:color="auto"/>
      </w:divBdr>
    </w:div>
    <w:div w:id="1208420997">
      <w:bodyDiv w:val="1"/>
      <w:marLeft w:val="0"/>
      <w:marRight w:val="0"/>
      <w:marTop w:val="0"/>
      <w:marBottom w:val="0"/>
      <w:divBdr>
        <w:top w:val="none" w:sz="0" w:space="0" w:color="auto"/>
        <w:left w:val="none" w:sz="0" w:space="0" w:color="auto"/>
        <w:bottom w:val="none" w:sz="0" w:space="0" w:color="auto"/>
        <w:right w:val="none" w:sz="0" w:space="0" w:color="auto"/>
      </w:divBdr>
    </w:div>
    <w:div w:id="1240285912">
      <w:bodyDiv w:val="1"/>
      <w:marLeft w:val="0"/>
      <w:marRight w:val="0"/>
      <w:marTop w:val="0"/>
      <w:marBottom w:val="0"/>
      <w:divBdr>
        <w:top w:val="none" w:sz="0" w:space="0" w:color="auto"/>
        <w:left w:val="none" w:sz="0" w:space="0" w:color="auto"/>
        <w:bottom w:val="none" w:sz="0" w:space="0" w:color="auto"/>
        <w:right w:val="none" w:sz="0" w:space="0" w:color="auto"/>
      </w:divBdr>
    </w:div>
    <w:div w:id="1264218341">
      <w:bodyDiv w:val="1"/>
      <w:marLeft w:val="0"/>
      <w:marRight w:val="0"/>
      <w:marTop w:val="0"/>
      <w:marBottom w:val="0"/>
      <w:divBdr>
        <w:top w:val="none" w:sz="0" w:space="0" w:color="auto"/>
        <w:left w:val="none" w:sz="0" w:space="0" w:color="auto"/>
        <w:bottom w:val="none" w:sz="0" w:space="0" w:color="auto"/>
        <w:right w:val="none" w:sz="0" w:space="0" w:color="auto"/>
      </w:divBdr>
      <w:divsChild>
        <w:div w:id="297999288">
          <w:marLeft w:val="0"/>
          <w:marRight w:val="0"/>
          <w:marTop w:val="0"/>
          <w:marBottom w:val="225"/>
          <w:divBdr>
            <w:top w:val="none" w:sz="0" w:space="0" w:color="auto"/>
            <w:left w:val="none" w:sz="0" w:space="0" w:color="auto"/>
            <w:bottom w:val="none" w:sz="0" w:space="0" w:color="auto"/>
            <w:right w:val="none" w:sz="0" w:space="0" w:color="auto"/>
          </w:divBdr>
        </w:div>
        <w:div w:id="922107386">
          <w:marLeft w:val="0"/>
          <w:marRight w:val="0"/>
          <w:marTop w:val="0"/>
          <w:marBottom w:val="225"/>
          <w:divBdr>
            <w:top w:val="none" w:sz="0" w:space="0" w:color="auto"/>
            <w:left w:val="none" w:sz="0" w:space="0" w:color="auto"/>
            <w:bottom w:val="none" w:sz="0" w:space="0" w:color="auto"/>
            <w:right w:val="none" w:sz="0" w:space="0" w:color="auto"/>
          </w:divBdr>
        </w:div>
        <w:div w:id="2084257910">
          <w:marLeft w:val="0"/>
          <w:marRight w:val="0"/>
          <w:marTop w:val="0"/>
          <w:marBottom w:val="0"/>
          <w:divBdr>
            <w:top w:val="none" w:sz="0" w:space="0" w:color="auto"/>
            <w:left w:val="none" w:sz="0" w:space="0" w:color="auto"/>
            <w:bottom w:val="none" w:sz="0" w:space="0" w:color="auto"/>
            <w:right w:val="none" w:sz="0" w:space="0" w:color="auto"/>
          </w:divBdr>
        </w:div>
      </w:divsChild>
    </w:div>
    <w:div w:id="1293094511">
      <w:bodyDiv w:val="1"/>
      <w:marLeft w:val="0"/>
      <w:marRight w:val="0"/>
      <w:marTop w:val="0"/>
      <w:marBottom w:val="0"/>
      <w:divBdr>
        <w:top w:val="none" w:sz="0" w:space="0" w:color="auto"/>
        <w:left w:val="none" w:sz="0" w:space="0" w:color="auto"/>
        <w:bottom w:val="none" w:sz="0" w:space="0" w:color="auto"/>
        <w:right w:val="none" w:sz="0" w:space="0" w:color="auto"/>
      </w:divBdr>
    </w:div>
    <w:div w:id="1338076018">
      <w:bodyDiv w:val="1"/>
      <w:marLeft w:val="0"/>
      <w:marRight w:val="0"/>
      <w:marTop w:val="0"/>
      <w:marBottom w:val="0"/>
      <w:divBdr>
        <w:top w:val="none" w:sz="0" w:space="0" w:color="auto"/>
        <w:left w:val="none" w:sz="0" w:space="0" w:color="auto"/>
        <w:bottom w:val="none" w:sz="0" w:space="0" w:color="auto"/>
        <w:right w:val="none" w:sz="0" w:space="0" w:color="auto"/>
      </w:divBdr>
    </w:div>
    <w:div w:id="1353603574">
      <w:bodyDiv w:val="1"/>
      <w:marLeft w:val="0"/>
      <w:marRight w:val="0"/>
      <w:marTop w:val="0"/>
      <w:marBottom w:val="0"/>
      <w:divBdr>
        <w:top w:val="none" w:sz="0" w:space="0" w:color="auto"/>
        <w:left w:val="none" w:sz="0" w:space="0" w:color="auto"/>
        <w:bottom w:val="none" w:sz="0" w:space="0" w:color="auto"/>
        <w:right w:val="none" w:sz="0" w:space="0" w:color="auto"/>
      </w:divBdr>
      <w:divsChild>
        <w:div w:id="801310859">
          <w:marLeft w:val="0"/>
          <w:marRight w:val="0"/>
          <w:marTop w:val="0"/>
          <w:marBottom w:val="0"/>
          <w:divBdr>
            <w:top w:val="single" w:sz="18" w:space="8" w:color="3E3E3E"/>
            <w:left w:val="none" w:sz="0" w:space="0" w:color="auto"/>
            <w:bottom w:val="single" w:sz="18" w:space="8" w:color="3E3E3E"/>
            <w:right w:val="none" w:sz="0" w:space="0" w:color="auto"/>
          </w:divBdr>
        </w:div>
        <w:div w:id="1550457669">
          <w:marLeft w:val="0"/>
          <w:marRight w:val="0"/>
          <w:marTop w:val="0"/>
          <w:marBottom w:val="0"/>
          <w:divBdr>
            <w:top w:val="none" w:sz="0" w:space="0" w:color="auto"/>
            <w:left w:val="none" w:sz="0" w:space="0" w:color="auto"/>
            <w:bottom w:val="none" w:sz="0" w:space="0" w:color="auto"/>
            <w:right w:val="none" w:sz="0" w:space="0" w:color="auto"/>
          </w:divBdr>
          <w:divsChild>
            <w:div w:id="538012031">
              <w:marLeft w:val="0"/>
              <w:marRight w:val="0"/>
              <w:marTop w:val="0"/>
              <w:marBottom w:val="0"/>
              <w:divBdr>
                <w:top w:val="none" w:sz="0" w:space="0" w:color="auto"/>
                <w:left w:val="none" w:sz="0" w:space="0" w:color="auto"/>
                <w:bottom w:val="none" w:sz="0" w:space="0" w:color="auto"/>
                <w:right w:val="none" w:sz="0" w:space="0" w:color="auto"/>
              </w:divBdr>
              <w:divsChild>
                <w:div w:id="68028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7925204">
      <w:bodyDiv w:val="1"/>
      <w:marLeft w:val="0"/>
      <w:marRight w:val="0"/>
      <w:marTop w:val="0"/>
      <w:marBottom w:val="0"/>
      <w:divBdr>
        <w:top w:val="none" w:sz="0" w:space="0" w:color="auto"/>
        <w:left w:val="none" w:sz="0" w:space="0" w:color="auto"/>
        <w:bottom w:val="none" w:sz="0" w:space="0" w:color="auto"/>
        <w:right w:val="none" w:sz="0" w:space="0" w:color="auto"/>
      </w:divBdr>
      <w:divsChild>
        <w:div w:id="43064904">
          <w:marLeft w:val="0"/>
          <w:marRight w:val="0"/>
          <w:marTop w:val="0"/>
          <w:marBottom w:val="0"/>
          <w:divBdr>
            <w:top w:val="none" w:sz="0" w:space="0" w:color="auto"/>
            <w:left w:val="none" w:sz="0" w:space="0" w:color="auto"/>
            <w:bottom w:val="none" w:sz="0" w:space="0" w:color="auto"/>
            <w:right w:val="none" w:sz="0" w:space="0" w:color="auto"/>
          </w:divBdr>
          <w:divsChild>
            <w:div w:id="2041472070">
              <w:marLeft w:val="0"/>
              <w:marRight w:val="0"/>
              <w:marTop w:val="0"/>
              <w:marBottom w:val="0"/>
              <w:divBdr>
                <w:top w:val="none" w:sz="0" w:space="0" w:color="auto"/>
                <w:left w:val="none" w:sz="0" w:space="0" w:color="auto"/>
                <w:bottom w:val="none" w:sz="0" w:space="0" w:color="auto"/>
                <w:right w:val="none" w:sz="0" w:space="0" w:color="auto"/>
              </w:divBdr>
              <w:divsChild>
                <w:div w:id="792403419">
                  <w:marLeft w:val="0"/>
                  <w:marRight w:val="0"/>
                  <w:marTop w:val="0"/>
                  <w:marBottom w:val="0"/>
                  <w:divBdr>
                    <w:top w:val="none" w:sz="0" w:space="0" w:color="auto"/>
                    <w:left w:val="none" w:sz="0" w:space="0" w:color="auto"/>
                    <w:bottom w:val="none" w:sz="0" w:space="0" w:color="auto"/>
                    <w:right w:val="none" w:sz="0" w:space="0" w:color="auto"/>
                  </w:divBdr>
                  <w:divsChild>
                    <w:div w:id="178723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8743580">
      <w:bodyDiv w:val="1"/>
      <w:marLeft w:val="0"/>
      <w:marRight w:val="0"/>
      <w:marTop w:val="0"/>
      <w:marBottom w:val="0"/>
      <w:divBdr>
        <w:top w:val="none" w:sz="0" w:space="0" w:color="auto"/>
        <w:left w:val="none" w:sz="0" w:space="0" w:color="auto"/>
        <w:bottom w:val="none" w:sz="0" w:space="0" w:color="auto"/>
        <w:right w:val="none" w:sz="0" w:space="0" w:color="auto"/>
      </w:divBdr>
    </w:div>
    <w:div w:id="1424260411">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5323200">
      <w:bodyDiv w:val="1"/>
      <w:marLeft w:val="0"/>
      <w:marRight w:val="0"/>
      <w:marTop w:val="0"/>
      <w:marBottom w:val="0"/>
      <w:divBdr>
        <w:top w:val="none" w:sz="0" w:space="0" w:color="auto"/>
        <w:left w:val="none" w:sz="0" w:space="0" w:color="auto"/>
        <w:bottom w:val="none" w:sz="0" w:space="0" w:color="auto"/>
        <w:right w:val="none" w:sz="0" w:space="0" w:color="auto"/>
      </w:divBdr>
    </w:div>
    <w:div w:id="1510679859">
      <w:bodyDiv w:val="1"/>
      <w:marLeft w:val="0"/>
      <w:marRight w:val="0"/>
      <w:marTop w:val="0"/>
      <w:marBottom w:val="0"/>
      <w:divBdr>
        <w:top w:val="none" w:sz="0" w:space="0" w:color="auto"/>
        <w:left w:val="none" w:sz="0" w:space="0" w:color="auto"/>
        <w:bottom w:val="none" w:sz="0" w:space="0" w:color="auto"/>
        <w:right w:val="none" w:sz="0" w:space="0" w:color="auto"/>
      </w:divBdr>
      <w:divsChild>
        <w:div w:id="879784143">
          <w:marLeft w:val="0"/>
          <w:marRight w:val="0"/>
          <w:marTop w:val="0"/>
          <w:marBottom w:val="0"/>
          <w:divBdr>
            <w:top w:val="none" w:sz="0" w:space="0" w:color="auto"/>
            <w:left w:val="none" w:sz="0" w:space="0" w:color="auto"/>
            <w:bottom w:val="none" w:sz="0" w:space="0" w:color="auto"/>
            <w:right w:val="none" w:sz="0" w:space="0" w:color="auto"/>
          </w:divBdr>
          <w:divsChild>
            <w:div w:id="1532374838">
              <w:marLeft w:val="0"/>
              <w:marRight w:val="0"/>
              <w:marTop w:val="0"/>
              <w:marBottom w:val="0"/>
              <w:divBdr>
                <w:top w:val="none" w:sz="0" w:space="0" w:color="auto"/>
                <w:left w:val="none" w:sz="0" w:space="0" w:color="auto"/>
                <w:bottom w:val="none" w:sz="0" w:space="0" w:color="auto"/>
                <w:right w:val="none" w:sz="0" w:space="0" w:color="auto"/>
              </w:divBdr>
            </w:div>
          </w:divsChild>
        </w:div>
        <w:div w:id="1594120140">
          <w:marLeft w:val="0"/>
          <w:marRight w:val="0"/>
          <w:marTop w:val="240"/>
          <w:marBottom w:val="0"/>
          <w:divBdr>
            <w:top w:val="none" w:sz="0" w:space="0" w:color="auto"/>
            <w:left w:val="none" w:sz="0" w:space="0" w:color="auto"/>
            <w:bottom w:val="none" w:sz="0" w:space="0" w:color="auto"/>
            <w:right w:val="none" w:sz="0" w:space="0" w:color="auto"/>
          </w:divBdr>
        </w:div>
      </w:divsChild>
    </w:div>
    <w:div w:id="1580361965">
      <w:bodyDiv w:val="1"/>
      <w:marLeft w:val="0"/>
      <w:marRight w:val="0"/>
      <w:marTop w:val="0"/>
      <w:marBottom w:val="0"/>
      <w:divBdr>
        <w:top w:val="none" w:sz="0" w:space="0" w:color="auto"/>
        <w:left w:val="none" w:sz="0" w:space="0" w:color="auto"/>
        <w:bottom w:val="none" w:sz="0" w:space="0" w:color="auto"/>
        <w:right w:val="none" w:sz="0" w:space="0" w:color="auto"/>
      </w:divBdr>
    </w:div>
    <w:div w:id="1590388399">
      <w:bodyDiv w:val="1"/>
      <w:marLeft w:val="0"/>
      <w:marRight w:val="0"/>
      <w:marTop w:val="0"/>
      <w:marBottom w:val="0"/>
      <w:divBdr>
        <w:top w:val="none" w:sz="0" w:space="0" w:color="auto"/>
        <w:left w:val="none" w:sz="0" w:space="0" w:color="auto"/>
        <w:bottom w:val="none" w:sz="0" w:space="0" w:color="auto"/>
        <w:right w:val="none" w:sz="0" w:space="0" w:color="auto"/>
      </w:divBdr>
    </w:div>
    <w:div w:id="1607158627">
      <w:bodyDiv w:val="1"/>
      <w:marLeft w:val="0"/>
      <w:marRight w:val="0"/>
      <w:marTop w:val="0"/>
      <w:marBottom w:val="0"/>
      <w:divBdr>
        <w:top w:val="none" w:sz="0" w:space="0" w:color="auto"/>
        <w:left w:val="none" w:sz="0" w:space="0" w:color="auto"/>
        <w:bottom w:val="none" w:sz="0" w:space="0" w:color="auto"/>
        <w:right w:val="none" w:sz="0" w:space="0" w:color="auto"/>
      </w:divBdr>
    </w:div>
    <w:div w:id="1644581710">
      <w:bodyDiv w:val="1"/>
      <w:marLeft w:val="0"/>
      <w:marRight w:val="0"/>
      <w:marTop w:val="0"/>
      <w:marBottom w:val="0"/>
      <w:divBdr>
        <w:top w:val="none" w:sz="0" w:space="0" w:color="auto"/>
        <w:left w:val="none" w:sz="0" w:space="0" w:color="auto"/>
        <w:bottom w:val="none" w:sz="0" w:space="0" w:color="auto"/>
        <w:right w:val="none" w:sz="0" w:space="0" w:color="auto"/>
      </w:divBdr>
    </w:div>
    <w:div w:id="1649749414">
      <w:bodyDiv w:val="1"/>
      <w:marLeft w:val="0"/>
      <w:marRight w:val="0"/>
      <w:marTop w:val="0"/>
      <w:marBottom w:val="0"/>
      <w:divBdr>
        <w:top w:val="none" w:sz="0" w:space="0" w:color="auto"/>
        <w:left w:val="none" w:sz="0" w:space="0" w:color="auto"/>
        <w:bottom w:val="none" w:sz="0" w:space="0" w:color="auto"/>
        <w:right w:val="none" w:sz="0" w:space="0" w:color="auto"/>
      </w:divBdr>
      <w:divsChild>
        <w:div w:id="1125390700">
          <w:marLeft w:val="0"/>
          <w:marRight w:val="0"/>
          <w:marTop w:val="0"/>
          <w:marBottom w:val="0"/>
          <w:divBdr>
            <w:top w:val="none" w:sz="0" w:space="0" w:color="auto"/>
            <w:left w:val="none" w:sz="0" w:space="0" w:color="auto"/>
            <w:bottom w:val="none" w:sz="0" w:space="0" w:color="auto"/>
            <w:right w:val="none" w:sz="0" w:space="0" w:color="auto"/>
          </w:divBdr>
          <w:divsChild>
            <w:div w:id="664285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302852">
      <w:bodyDiv w:val="1"/>
      <w:marLeft w:val="0"/>
      <w:marRight w:val="0"/>
      <w:marTop w:val="0"/>
      <w:marBottom w:val="0"/>
      <w:divBdr>
        <w:top w:val="none" w:sz="0" w:space="0" w:color="auto"/>
        <w:left w:val="none" w:sz="0" w:space="0" w:color="auto"/>
        <w:bottom w:val="none" w:sz="0" w:space="0" w:color="auto"/>
        <w:right w:val="none" w:sz="0" w:space="0" w:color="auto"/>
      </w:divBdr>
    </w:div>
    <w:div w:id="1682467451">
      <w:bodyDiv w:val="1"/>
      <w:marLeft w:val="0"/>
      <w:marRight w:val="0"/>
      <w:marTop w:val="0"/>
      <w:marBottom w:val="0"/>
      <w:divBdr>
        <w:top w:val="none" w:sz="0" w:space="0" w:color="auto"/>
        <w:left w:val="none" w:sz="0" w:space="0" w:color="auto"/>
        <w:bottom w:val="none" w:sz="0" w:space="0" w:color="auto"/>
        <w:right w:val="none" w:sz="0" w:space="0" w:color="auto"/>
      </w:divBdr>
    </w:div>
    <w:div w:id="1696731262">
      <w:bodyDiv w:val="1"/>
      <w:marLeft w:val="0"/>
      <w:marRight w:val="0"/>
      <w:marTop w:val="0"/>
      <w:marBottom w:val="0"/>
      <w:divBdr>
        <w:top w:val="none" w:sz="0" w:space="0" w:color="auto"/>
        <w:left w:val="none" w:sz="0" w:space="0" w:color="auto"/>
        <w:bottom w:val="none" w:sz="0" w:space="0" w:color="auto"/>
        <w:right w:val="none" w:sz="0" w:space="0" w:color="auto"/>
      </w:divBdr>
    </w:div>
    <w:div w:id="1739017603">
      <w:bodyDiv w:val="1"/>
      <w:marLeft w:val="0"/>
      <w:marRight w:val="0"/>
      <w:marTop w:val="0"/>
      <w:marBottom w:val="0"/>
      <w:divBdr>
        <w:top w:val="none" w:sz="0" w:space="0" w:color="auto"/>
        <w:left w:val="none" w:sz="0" w:space="0" w:color="auto"/>
        <w:bottom w:val="none" w:sz="0" w:space="0" w:color="auto"/>
        <w:right w:val="none" w:sz="0" w:space="0" w:color="auto"/>
      </w:divBdr>
    </w:div>
    <w:div w:id="1802309772">
      <w:bodyDiv w:val="1"/>
      <w:marLeft w:val="0"/>
      <w:marRight w:val="0"/>
      <w:marTop w:val="0"/>
      <w:marBottom w:val="0"/>
      <w:divBdr>
        <w:top w:val="none" w:sz="0" w:space="0" w:color="auto"/>
        <w:left w:val="none" w:sz="0" w:space="0" w:color="auto"/>
        <w:bottom w:val="none" w:sz="0" w:space="0" w:color="auto"/>
        <w:right w:val="none" w:sz="0" w:space="0" w:color="auto"/>
      </w:divBdr>
      <w:divsChild>
        <w:div w:id="1836535282">
          <w:marLeft w:val="0"/>
          <w:marRight w:val="0"/>
          <w:marTop w:val="0"/>
          <w:marBottom w:val="0"/>
          <w:divBdr>
            <w:top w:val="none" w:sz="0" w:space="0" w:color="auto"/>
            <w:left w:val="none" w:sz="0" w:space="0" w:color="auto"/>
            <w:bottom w:val="none" w:sz="0" w:space="0" w:color="auto"/>
            <w:right w:val="none" w:sz="0" w:space="0" w:color="auto"/>
          </w:divBdr>
          <w:divsChild>
            <w:div w:id="131710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318681">
      <w:bodyDiv w:val="1"/>
      <w:marLeft w:val="0"/>
      <w:marRight w:val="0"/>
      <w:marTop w:val="0"/>
      <w:marBottom w:val="0"/>
      <w:divBdr>
        <w:top w:val="none" w:sz="0" w:space="0" w:color="auto"/>
        <w:left w:val="none" w:sz="0" w:space="0" w:color="auto"/>
        <w:bottom w:val="none" w:sz="0" w:space="0" w:color="auto"/>
        <w:right w:val="none" w:sz="0" w:space="0" w:color="auto"/>
      </w:divBdr>
    </w:div>
    <w:div w:id="1827549156">
      <w:bodyDiv w:val="1"/>
      <w:marLeft w:val="0"/>
      <w:marRight w:val="0"/>
      <w:marTop w:val="0"/>
      <w:marBottom w:val="0"/>
      <w:divBdr>
        <w:top w:val="none" w:sz="0" w:space="0" w:color="auto"/>
        <w:left w:val="none" w:sz="0" w:space="0" w:color="auto"/>
        <w:bottom w:val="none" w:sz="0" w:space="0" w:color="auto"/>
        <w:right w:val="none" w:sz="0" w:space="0" w:color="auto"/>
      </w:divBdr>
      <w:divsChild>
        <w:div w:id="203560934">
          <w:marLeft w:val="0"/>
          <w:marRight w:val="0"/>
          <w:marTop w:val="0"/>
          <w:marBottom w:val="225"/>
          <w:divBdr>
            <w:top w:val="none" w:sz="0" w:space="0" w:color="auto"/>
            <w:left w:val="none" w:sz="0" w:space="0" w:color="auto"/>
            <w:bottom w:val="none" w:sz="0" w:space="0" w:color="auto"/>
            <w:right w:val="none" w:sz="0" w:space="0" w:color="auto"/>
          </w:divBdr>
        </w:div>
        <w:div w:id="400177464">
          <w:marLeft w:val="0"/>
          <w:marRight w:val="0"/>
          <w:marTop w:val="0"/>
          <w:marBottom w:val="0"/>
          <w:divBdr>
            <w:top w:val="none" w:sz="0" w:space="0" w:color="auto"/>
            <w:left w:val="none" w:sz="0" w:space="0" w:color="auto"/>
            <w:bottom w:val="none" w:sz="0" w:space="0" w:color="auto"/>
            <w:right w:val="none" w:sz="0" w:space="0" w:color="auto"/>
          </w:divBdr>
          <w:divsChild>
            <w:div w:id="2122412594">
              <w:marLeft w:val="0"/>
              <w:marRight w:val="450"/>
              <w:marTop w:val="150"/>
              <w:marBottom w:val="450"/>
              <w:divBdr>
                <w:top w:val="none" w:sz="0" w:space="0" w:color="auto"/>
                <w:left w:val="none" w:sz="0" w:space="0" w:color="auto"/>
                <w:bottom w:val="none" w:sz="0" w:space="0" w:color="auto"/>
                <w:right w:val="none" w:sz="0" w:space="0" w:color="auto"/>
              </w:divBdr>
              <w:divsChild>
                <w:div w:id="869993413">
                  <w:marLeft w:val="0"/>
                  <w:marRight w:val="0"/>
                  <w:marTop w:val="0"/>
                  <w:marBottom w:val="0"/>
                  <w:divBdr>
                    <w:top w:val="none" w:sz="0" w:space="0" w:color="auto"/>
                    <w:left w:val="none" w:sz="0" w:space="0" w:color="auto"/>
                    <w:bottom w:val="none" w:sz="0" w:space="0" w:color="auto"/>
                    <w:right w:val="none" w:sz="0" w:space="0" w:color="auto"/>
                  </w:divBdr>
                  <w:divsChild>
                    <w:div w:id="931163745">
                      <w:marLeft w:val="0"/>
                      <w:marRight w:val="0"/>
                      <w:marTop w:val="450"/>
                      <w:marBottom w:val="0"/>
                      <w:divBdr>
                        <w:top w:val="none" w:sz="0" w:space="0" w:color="auto"/>
                        <w:left w:val="none" w:sz="0" w:space="0" w:color="auto"/>
                        <w:bottom w:val="none" w:sz="0" w:space="0" w:color="auto"/>
                        <w:right w:val="none" w:sz="0" w:space="0" w:color="auto"/>
                      </w:divBdr>
                      <w:divsChild>
                        <w:div w:id="602539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4263313">
          <w:marLeft w:val="0"/>
          <w:marRight w:val="0"/>
          <w:marTop w:val="0"/>
          <w:marBottom w:val="225"/>
          <w:divBdr>
            <w:top w:val="none" w:sz="0" w:space="0" w:color="auto"/>
            <w:left w:val="none" w:sz="0" w:space="0" w:color="auto"/>
            <w:bottom w:val="none" w:sz="0" w:space="0" w:color="auto"/>
            <w:right w:val="none" w:sz="0" w:space="0" w:color="auto"/>
          </w:divBdr>
        </w:div>
        <w:div w:id="1317341551">
          <w:marLeft w:val="0"/>
          <w:marRight w:val="0"/>
          <w:marTop w:val="0"/>
          <w:marBottom w:val="225"/>
          <w:divBdr>
            <w:top w:val="none" w:sz="0" w:space="0" w:color="auto"/>
            <w:left w:val="none" w:sz="0" w:space="0" w:color="auto"/>
            <w:bottom w:val="none" w:sz="0" w:space="0" w:color="auto"/>
            <w:right w:val="none" w:sz="0" w:space="0" w:color="auto"/>
          </w:divBdr>
        </w:div>
        <w:div w:id="1377773461">
          <w:marLeft w:val="0"/>
          <w:marRight w:val="0"/>
          <w:marTop w:val="0"/>
          <w:marBottom w:val="225"/>
          <w:divBdr>
            <w:top w:val="none" w:sz="0" w:space="0" w:color="auto"/>
            <w:left w:val="none" w:sz="0" w:space="0" w:color="auto"/>
            <w:bottom w:val="none" w:sz="0" w:space="0" w:color="auto"/>
            <w:right w:val="none" w:sz="0" w:space="0" w:color="auto"/>
          </w:divBdr>
        </w:div>
        <w:div w:id="2029401452">
          <w:marLeft w:val="0"/>
          <w:marRight w:val="0"/>
          <w:marTop w:val="0"/>
          <w:marBottom w:val="225"/>
          <w:divBdr>
            <w:top w:val="none" w:sz="0" w:space="0" w:color="auto"/>
            <w:left w:val="none" w:sz="0" w:space="0" w:color="auto"/>
            <w:bottom w:val="none" w:sz="0" w:space="0" w:color="auto"/>
            <w:right w:val="none" w:sz="0" w:space="0" w:color="auto"/>
          </w:divBdr>
        </w:div>
      </w:divsChild>
    </w:div>
    <w:div w:id="1868715835">
      <w:bodyDiv w:val="1"/>
      <w:marLeft w:val="0"/>
      <w:marRight w:val="0"/>
      <w:marTop w:val="0"/>
      <w:marBottom w:val="0"/>
      <w:divBdr>
        <w:top w:val="none" w:sz="0" w:space="0" w:color="auto"/>
        <w:left w:val="none" w:sz="0" w:space="0" w:color="auto"/>
        <w:bottom w:val="none" w:sz="0" w:space="0" w:color="auto"/>
        <w:right w:val="none" w:sz="0" w:space="0" w:color="auto"/>
      </w:divBdr>
    </w:div>
    <w:div w:id="1918128849">
      <w:bodyDiv w:val="1"/>
      <w:marLeft w:val="0"/>
      <w:marRight w:val="0"/>
      <w:marTop w:val="0"/>
      <w:marBottom w:val="0"/>
      <w:divBdr>
        <w:top w:val="none" w:sz="0" w:space="0" w:color="auto"/>
        <w:left w:val="none" w:sz="0" w:space="0" w:color="auto"/>
        <w:bottom w:val="none" w:sz="0" w:space="0" w:color="auto"/>
        <w:right w:val="none" w:sz="0" w:space="0" w:color="auto"/>
      </w:divBdr>
      <w:divsChild>
        <w:div w:id="1492326985">
          <w:marLeft w:val="0"/>
          <w:marRight w:val="0"/>
          <w:marTop w:val="0"/>
          <w:marBottom w:val="0"/>
          <w:divBdr>
            <w:top w:val="none" w:sz="0" w:space="0" w:color="auto"/>
            <w:left w:val="none" w:sz="0" w:space="0" w:color="auto"/>
            <w:bottom w:val="none" w:sz="0" w:space="0" w:color="auto"/>
            <w:right w:val="none" w:sz="0" w:space="0" w:color="auto"/>
          </w:divBdr>
          <w:divsChild>
            <w:div w:id="1970933063">
              <w:marLeft w:val="0"/>
              <w:marRight w:val="0"/>
              <w:marTop w:val="0"/>
              <w:marBottom w:val="0"/>
              <w:divBdr>
                <w:top w:val="none" w:sz="0" w:space="0" w:color="auto"/>
                <w:left w:val="none" w:sz="0" w:space="0" w:color="auto"/>
                <w:bottom w:val="none" w:sz="0" w:space="0" w:color="auto"/>
                <w:right w:val="none" w:sz="0" w:space="0" w:color="auto"/>
              </w:divBdr>
              <w:divsChild>
                <w:div w:id="1024210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882057">
      <w:bodyDiv w:val="1"/>
      <w:marLeft w:val="0"/>
      <w:marRight w:val="0"/>
      <w:marTop w:val="0"/>
      <w:marBottom w:val="0"/>
      <w:divBdr>
        <w:top w:val="none" w:sz="0" w:space="0" w:color="auto"/>
        <w:left w:val="none" w:sz="0" w:space="0" w:color="auto"/>
        <w:bottom w:val="none" w:sz="0" w:space="0" w:color="auto"/>
        <w:right w:val="none" w:sz="0" w:space="0" w:color="auto"/>
      </w:divBdr>
      <w:divsChild>
        <w:div w:id="579565326">
          <w:marLeft w:val="0"/>
          <w:marRight w:val="0"/>
          <w:marTop w:val="0"/>
          <w:marBottom w:val="0"/>
          <w:divBdr>
            <w:top w:val="none" w:sz="0" w:space="0" w:color="auto"/>
            <w:left w:val="none" w:sz="0" w:space="0" w:color="auto"/>
            <w:bottom w:val="none" w:sz="0" w:space="0" w:color="auto"/>
            <w:right w:val="none" w:sz="0" w:space="0" w:color="auto"/>
          </w:divBdr>
          <w:divsChild>
            <w:div w:id="825130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886765">
      <w:bodyDiv w:val="1"/>
      <w:marLeft w:val="0"/>
      <w:marRight w:val="0"/>
      <w:marTop w:val="0"/>
      <w:marBottom w:val="0"/>
      <w:divBdr>
        <w:top w:val="none" w:sz="0" w:space="0" w:color="auto"/>
        <w:left w:val="none" w:sz="0" w:space="0" w:color="auto"/>
        <w:bottom w:val="none" w:sz="0" w:space="0" w:color="auto"/>
        <w:right w:val="none" w:sz="0" w:space="0" w:color="auto"/>
      </w:divBdr>
    </w:div>
    <w:div w:id="2060351914">
      <w:bodyDiv w:val="1"/>
      <w:marLeft w:val="0"/>
      <w:marRight w:val="0"/>
      <w:marTop w:val="0"/>
      <w:marBottom w:val="0"/>
      <w:divBdr>
        <w:top w:val="none" w:sz="0" w:space="0" w:color="auto"/>
        <w:left w:val="none" w:sz="0" w:space="0" w:color="auto"/>
        <w:bottom w:val="none" w:sz="0" w:space="0" w:color="auto"/>
        <w:right w:val="none" w:sz="0" w:space="0" w:color="auto"/>
      </w:divBdr>
      <w:divsChild>
        <w:div w:id="1493256147">
          <w:marLeft w:val="0"/>
          <w:marRight w:val="0"/>
          <w:marTop w:val="0"/>
          <w:marBottom w:val="0"/>
          <w:divBdr>
            <w:top w:val="none" w:sz="0" w:space="0" w:color="auto"/>
            <w:left w:val="none" w:sz="0" w:space="0" w:color="auto"/>
            <w:bottom w:val="none" w:sz="0" w:space="0" w:color="auto"/>
            <w:right w:val="none" w:sz="0" w:space="0" w:color="auto"/>
          </w:divBdr>
          <w:divsChild>
            <w:div w:id="1217931019">
              <w:marLeft w:val="0"/>
              <w:marRight w:val="0"/>
              <w:marTop w:val="0"/>
              <w:marBottom w:val="0"/>
              <w:divBdr>
                <w:top w:val="none" w:sz="0" w:space="0" w:color="auto"/>
                <w:left w:val="none" w:sz="0" w:space="0" w:color="auto"/>
                <w:bottom w:val="none" w:sz="0" w:space="0" w:color="auto"/>
                <w:right w:val="none" w:sz="0" w:space="0" w:color="auto"/>
              </w:divBdr>
              <w:divsChild>
                <w:div w:id="1380470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2316101">
      <w:bodyDiv w:val="1"/>
      <w:marLeft w:val="0"/>
      <w:marRight w:val="0"/>
      <w:marTop w:val="0"/>
      <w:marBottom w:val="0"/>
      <w:divBdr>
        <w:top w:val="none" w:sz="0" w:space="0" w:color="auto"/>
        <w:left w:val="none" w:sz="0" w:space="0" w:color="auto"/>
        <w:bottom w:val="none" w:sz="0" w:space="0" w:color="auto"/>
        <w:right w:val="none" w:sz="0" w:space="0" w:color="auto"/>
      </w:divBdr>
      <w:divsChild>
        <w:div w:id="20205637">
          <w:marLeft w:val="0"/>
          <w:marRight w:val="0"/>
          <w:marTop w:val="0"/>
          <w:marBottom w:val="0"/>
          <w:divBdr>
            <w:top w:val="none" w:sz="0" w:space="0" w:color="auto"/>
            <w:left w:val="none" w:sz="0" w:space="0" w:color="auto"/>
            <w:bottom w:val="none" w:sz="0" w:space="0" w:color="auto"/>
            <w:right w:val="none" w:sz="0" w:space="0" w:color="auto"/>
          </w:divBdr>
          <w:divsChild>
            <w:div w:id="104621423">
              <w:marLeft w:val="0"/>
              <w:marRight w:val="0"/>
              <w:marTop w:val="0"/>
              <w:marBottom w:val="0"/>
              <w:divBdr>
                <w:top w:val="none" w:sz="0" w:space="0" w:color="auto"/>
                <w:left w:val="none" w:sz="0" w:space="0" w:color="auto"/>
                <w:bottom w:val="none" w:sz="0" w:space="0" w:color="auto"/>
                <w:right w:val="none" w:sz="0" w:space="0" w:color="auto"/>
              </w:divBdr>
            </w:div>
          </w:divsChild>
        </w:div>
        <w:div w:id="1628194827">
          <w:marLeft w:val="0"/>
          <w:marRight w:val="0"/>
          <w:marTop w:val="0"/>
          <w:marBottom w:val="180"/>
          <w:divBdr>
            <w:top w:val="none" w:sz="0" w:space="0" w:color="auto"/>
            <w:left w:val="none" w:sz="0" w:space="0" w:color="auto"/>
            <w:bottom w:val="none" w:sz="0" w:space="0" w:color="auto"/>
            <w:right w:val="none" w:sz="0" w:space="0" w:color="auto"/>
          </w:divBdr>
          <w:divsChild>
            <w:div w:id="876965912">
              <w:marLeft w:val="0"/>
              <w:marRight w:val="0"/>
              <w:marTop w:val="0"/>
              <w:marBottom w:val="0"/>
              <w:divBdr>
                <w:top w:val="none" w:sz="0" w:space="0" w:color="auto"/>
                <w:left w:val="none" w:sz="0" w:space="0" w:color="auto"/>
                <w:bottom w:val="none" w:sz="0" w:space="0" w:color="auto"/>
                <w:right w:val="none" w:sz="0" w:space="0" w:color="auto"/>
              </w:divBdr>
              <w:divsChild>
                <w:div w:id="322512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2628874">
      <w:bodyDiv w:val="1"/>
      <w:marLeft w:val="0"/>
      <w:marRight w:val="0"/>
      <w:marTop w:val="0"/>
      <w:marBottom w:val="0"/>
      <w:divBdr>
        <w:top w:val="none" w:sz="0" w:space="0" w:color="auto"/>
        <w:left w:val="none" w:sz="0" w:space="0" w:color="auto"/>
        <w:bottom w:val="none" w:sz="0" w:space="0" w:color="auto"/>
        <w:right w:val="none" w:sz="0" w:space="0" w:color="auto"/>
      </w:divBdr>
      <w:divsChild>
        <w:div w:id="189612246">
          <w:blockQuote w:val="1"/>
          <w:marLeft w:val="0"/>
          <w:marRight w:val="0"/>
          <w:marTop w:val="440"/>
          <w:marBottom w:val="440"/>
          <w:divBdr>
            <w:top w:val="none" w:sz="0" w:space="0" w:color="auto"/>
            <w:left w:val="single" w:sz="4" w:space="26" w:color="BCBEC0"/>
            <w:bottom w:val="none" w:sz="0" w:space="0" w:color="auto"/>
            <w:right w:val="none" w:sz="0" w:space="0" w:color="auto"/>
          </w:divBdr>
        </w:div>
      </w:divsChild>
    </w:div>
    <w:div w:id="2098747088">
      <w:bodyDiv w:val="1"/>
      <w:marLeft w:val="0"/>
      <w:marRight w:val="0"/>
      <w:marTop w:val="0"/>
      <w:marBottom w:val="0"/>
      <w:divBdr>
        <w:top w:val="none" w:sz="0" w:space="0" w:color="auto"/>
        <w:left w:val="none" w:sz="0" w:space="0" w:color="auto"/>
        <w:bottom w:val="none" w:sz="0" w:space="0" w:color="auto"/>
        <w:right w:val="none" w:sz="0" w:space="0" w:color="auto"/>
      </w:divBdr>
    </w:div>
    <w:div w:id="2115830712">
      <w:bodyDiv w:val="1"/>
      <w:marLeft w:val="0"/>
      <w:marRight w:val="0"/>
      <w:marTop w:val="0"/>
      <w:marBottom w:val="0"/>
      <w:divBdr>
        <w:top w:val="none" w:sz="0" w:space="0" w:color="auto"/>
        <w:left w:val="none" w:sz="0" w:space="0" w:color="auto"/>
        <w:bottom w:val="none" w:sz="0" w:space="0" w:color="auto"/>
        <w:right w:val="none" w:sz="0" w:space="0" w:color="auto"/>
      </w:divBdr>
    </w:div>
    <w:div w:id="2138602753">
      <w:bodyDiv w:val="1"/>
      <w:marLeft w:val="0"/>
      <w:marRight w:val="0"/>
      <w:marTop w:val="0"/>
      <w:marBottom w:val="0"/>
      <w:divBdr>
        <w:top w:val="none" w:sz="0" w:space="0" w:color="auto"/>
        <w:left w:val="none" w:sz="0" w:space="0" w:color="auto"/>
        <w:bottom w:val="none" w:sz="0" w:space="0" w:color="auto"/>
        <w:right w:val="none" w:sz="0" w:space="0" w:color="auto"/>
      </w:divBdr>
    </w:div>
    <w:div w:id="2141418897">
      <w:bodyDiv w:val="1"/>
      <w:marLeft w:val="0"/>
      <w:marRight w:val="0"/>
      <w:marTop w:val="0"/>
      <w:marBottom w:val="0"/>
      <w:divBdr>
        <w:top w:val="none" w:sz="0" w:space="0" w:color="auto"/>
        <w:left w:val="none" w:sz="0" w:space="0" w:color="auto"/>
        <w:bottom w:val="none" w:sz="0" w:space="0" w:color="auto"/>
        <w:right w:val="none" w:sz="0" w:space="0" w:color="auto"/>
      </w:divBdr>
      <w:divsChild>
        <w:div w:id="349532752">
          <w:marLeft w:val="0"/>
          <w:marRight w:val="0"/>
          <w:marTop w:val="0"/>
          <w:marBottom w:val="0"/>
          <w:divBdr>
            <w:top w:val="none" w:sz="0" w:space="0" w:color="auto"/>
            <w:left w:val="none" w:sz="0" w:space="0" w:color="auto"/>
            <w:bottom w:val="none" w:sz="0" w:space="0" w:color="auto"/>
            <w:right w:val="none" w:sz="0" w:space="0" w:color="auto"/>
          </w:divBdr>
          <w:divsChild>
            <w:div w:id="11691176">
              <w:marLeft w:val="0"/>
              <w:marRight w:val="0"/>
              <w:marTop w:val="0"/>
              <w:marBottom w:val="0"/>
              <w:divBdr>
                <w:top w:val="none" w:sz="0" w:space="0" w:color="auto"/>
                <w:left w:val="none" w:sz="0" w:space="0" w:color="auto"/>
                <w:bottom w:val="none" w:sz="0" w:space="0" w:color="auto"/>
                <w:right w:val="none" w:sz="0" w:space="0" w:color="auto"/>
              </w:divBdr>
              <w:divsChild>
                <w:div w:id="1994093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lawfareblog.com/carpenter-v-united-states-and-law-chancellors-foot" TargetMode="External"/><Relationship Id="rId18" Type="http://schemas.openxmlformats.org/officeDocument/2006/relationships/hyperlink" Target="http://www.washingtontimes.com/news/2018/jul/3/carpenter-v-united-states-provides-necessary-updat/"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cnn.com/2018/09/05/app-politics-section/history-overruled-supreme-court-roe/index.html" TargetMode="External"/><Relationship Id="rId7" Type="http://schemas.openxmlformats.org/officeDocument/2006/relationships/endnotes" Target="endnotes.xml"/><Relationship Id="rId12" Type="http://schemas.openxmlformats.org/officeDocument/2006/relationships/hyperlink" Target="http://www.aclu.org/cases/carpenter-v-united-states" TargetMode="External"/><Relationship Id="rId17" Type="http://schemas.openxmlformats.org/officeDocument/2006/relationships/hyperlink" Target="http://www.scotusblog.com/2018/06/opinion-analysis-court-holds-that-police-will-generally-need-a-warrant-for-cellphone-location-informatio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bna.com/insight-cracking-open-n73014477217/" TargetMode="External"/><Relationship Id="rId20" Type="http://schemas.openxmlformats.org/officeDocument/2006/relationships/hyperlink" Target="http://www.balkin.blogspot.com/2018/06/carpenter-s-curiosities-and-it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awfareblog.com/carpenter-v-united-states-and-law-chancellors-foot"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bna.com/insight-cracking-open-n73014477217/" TargetMode="External"/><Relationship Id="rId23" Type="http://schemas.openxmlformats.org/officeDocument/2006/relationships/header" Target="header1.xml"/><Relationship Id="rId10" Type="http://schemas.openxmlformats.org/officeDocument/2006/relationships/hyperlink" Target="http://www.lawfareblog.com/summary-supreme-court-rules-carpenter-v-united-states" TargetMode="External"/><Relationship Id="rId19" Type="http://schemas.openxmlformats.org/officeDocument/2006/relationships/hyperlink" Target="http://www.reason.com/volokh/2018/06/22/first-thoughts-on-carpenter-v-united-sta" TargetMode="External"/><Relationship Id="rId4" Type="http://schemas.openxmlformats.org/officeDocument/2006/relationships/settings" Target="settings.xml"/><Relationship Id="rId9" Type="http://schemas.openxmlformats.org/officeDocument/2006/relationships/hyperlink" Target="https://www.law.berkeley.edu/wp-content/uploads/2015/04/2016-06-07_Cell-Tracking-Primer_Final.pdf" TargetMode="External"/><Relationship Id="rId14" Type="http://schemas.openxmlformats.org/officeDocument/2006/relationships/hyperlink" Target="http://www.bna.com/insight-cracking-open-n73014477217/" TargetMode="External"/><Relationship Id="rId22" Type="http://schemas.openxmlformats.org/officeDocument/2006/relationships/hyperlink" Target="https://www.supremecourt.gov/opinions/17pdf/16-402_h315.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lawfareblog.com/summary-supreme-court-rules-carpenter-v-united-stat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D1C930-0A3D-4BD4-B111-0A9D6E7643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3321</TotalTime>
  <Pages>7</Pages>
  <Words>2795</Words>
  <Characters>15932</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Nathaniel</cp:lastModifiedBy>
  <cp:revision>13</cp:revision>
  <dcterms:created xsi:type="dcterms:W3CDTF">2018-12-19T23:29:00Z</dcterms:created>
  <dcterms:modified xsi:type="dcterms:W3CDTF">2019-01-01T19:11:00Z</dcterms:modified>
</cp:coreProperties>
</file>